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E892C" w14:textId="77777777" w:rsidR="00E96491" w:rsidRDefault="00E96491" w:rsidP="00E96491">
      <w:pPr>
        <w:pStyle w:val="Heading1"/>
      </w:pPr>
      <w:bookmarkStart w:id="0" w:name="_GoBack"/>
      <w:bookmarkEnd w:id="0"/>
    </w:p>
    <w:p w14:paraId="0094BE61" w14:textId="77777777" w:rsidR="00E96491" w:rsidRDefault="00E96491" w:rsidP="00E96491">
      <w:pPr>
        <w:pStyle w:val="Heading1"/>
      </w:pPr>
    </w:p>
    <w:p w14:paraId="1B6F8338" w14:textId="26A05E46" w:rsidR="00F91FDE" w:rsidRDefault="005B5F39" w:rsidP="005B5F39">
      <w:pPr>
        <w:pStyle w:val="Heading1"/>
      </w:pPr>
      <w:r>
        <w:t xml:space="preserve">Fair Work Ombudsman </w:t>
      </w:r>
      <w:r w:rsidR="00E96491" w:rsidRPr="00E96491">
        <w:t>Gender Equality Action Plan 2018-2021</w:t>
      </w:r>
    </w:p>
    <w:p w14:paraId="2DE946F2" w14:textId="77777777" w:rsidR="00F91FDE" w:rsidRDefault="00F91FDE" w:rsidP="006A412C"/>
    <w:p w14:paraId="5AAA01EF" w14:textId="224AAA47" w:rsidR="001F20C3" w:rsidRPr="006A412C" w:rsidRDefault="009629F3" w:rsidP="006A412C">
      <w:r w:rsidRPr="0045600E">
        <w:t>©</w:t>
      </w:r>
      <w:r w:rsidR="00CC7FFE" w:rsidRPr="0045600E">
        <w:t xml:space="preserve"> </w:t>
      </w:r>
      <w:r w:rsidRPr="0045600E">
        <w:t>Commonwealth of Australia, 201</w:t>
      </w:r>
      <w:r w:rsidR="00AA3C88">
        <w:t>8</w:t>
      </w:r>
      <w:r w:rsidR="001F20C3">
        <w:br w:type="page"/>
      </w:r>
    </w:p>
    <w:p w14:paraId="2F5D55FF" w14:textId="77777777" w:rsidR="00E96491" w:rsidRDefault="00E96491" w:rsidP="00E96491">
      <w:pPr>
        <w:pStyle w:val="Heading2"/>
      </w:pPr>
      <w:r>
        <w:lastRenderedPageBreak/>
        <w:t>Foreword</w:t>
      </w:r>
    </w:p>
    <w:p w14:paraId="7B7228DD" w14:textId="2C0DDD9B" w:rsidR="00E96491" w:rsidRPr="008F5B2C" w:rsidRDefault="00E96491" w:rsidP="00E96491">
      <w:pPr>
        <w:rPr>
          <w:rFonts w:ascii="Arial" w:hAnsi="Arial"/>
        </w:rPr>
      </w:pPr>
      <w:r w:rsidRPr="00A81333">
        <w:rPr>
          <w:rFonts w:ascii="Arial" w:hAnsi="Arial"/>
        </w:rPr>
        <w:t>We are proud to present the Fair Work Ombudsman Gender</w:t>
      </w:r>
      <w:r w:rsidRPr="00A81333">
        <w:rPr>
          <w:rFonts w:ascii="Arial" w:hAnsi="Arial"/>
          <w:color w:val="000000" w:themeColor="text1"/>
        </w:rPr>
        <w:t xml:space="preserve"> Equality Action Plan 2018-21</w:t>
      </w:r>
      <w:r w:rsidRPr="00A81333">
        <w:rPr>
          <w:rFonts w:ascii="Arial" w:hAnsi="Arial"/>
          <w:b/>
          <w:bCs/>
          <w:color w:val="000000" w:themeColor="text1"/>
        </w:rPr>
        <w:t>.</w:t>
      </w:r>
      <w:r w:rsidRPr="008F5B2C">
        <w:rPr>
          <w:rFonts w:ascii="Arial" w:hAnsi="Arial"/>
          <w:b/>
          <w:bCs/>
          <w:color w:val="000000" w:themeColor="text1"/>
        </w:rPr>
        <w:t xml:space="preserve"> </w:t>
      </w:r>
      <w:r w:rsidR="00AA3C88">
        <w:rPr>
          <w:rFonts w:ascii="Arial" w:hAnsi="Arial"/>
        </w:rPr>
        <w:t xml:space="preserve"> </w:t>
      </w:r>
      <w:r w:rsidRPr="008F5B2C">
        <w:rPr>
          <w:rFonts w:ascii="Arial" w:hAnsi="Arial"/>
        </w:rPr>
        <w:t xml:space="preserve">This plan is the outcome of an extensive review of gender equality across the agency in a range of areas. </w:t>
      </w:r>
    </w:p>
    <w:p w14:paraId="6D1F7707" w14:textId="5E6DCA78" w:rsidR="00E96491" w:rsidRPr="008F5B2C" w:rsidRDefault="00E96491" w:rsidP="00E96491">
      <w:pPr>
        <w:rPr>
          <w:rFonts w:ascii="Arial" w:hAnsi="Arial"/>
        </w:rPr>
      </w:pPr>
      <w:r w:rsidRPr="008F5B2C">
        <w:rPr>
          <w:rFonts w:ascii="Arial" w:hAnsi="Arial"/>
        </w:rPr>
        <w:t xml:space="preserve">We excel in many areas including our leading approach to family and domestic violence, and our overall </w:t>
      </w:r>
      <w:r w:rsidR="00A8211F">
        <w:rPr>
          <w:rFonts w:ascii="Arial" w:hAnsi="Arial"/>
        </w:rPr>
        <w:t xml:space="preserve">percentage of women which </w:t>
      </w:r>
      <w:r w:rsidRPr="008F5B2C">
        <w:rPr>
          <w:rFonts w:ascii="Arial" w:hAnsi="Arial"/>
        </w:rPr>
        <w:t>at 6</w:t>
      </w:r>
      <w:r>
        <w:rPr>
          <w:rFonts w:ascii="Arial" w:hAnsi="Arial"/>
        </w:rPr>
        <w:t>2</w:t>
      </w:r>
      <w:r w:rsidRPr="008F5B2C">
        <w:rPr>
          <w:rFonts w:ascii="Arial" w:hAnsi="Arial"/>
        </w:rPr>
        <w:t xml:space="preserve">% is higher than the Australian Public Service (APS) average of 59%. However, we recognise that more needs to be done. </w:t>
      </w:r>
    </w:p>
    <w:p w14:paraId="39A0ABED" w14:textId="6D32A6F1" w:rsidR="00E96491" w:rsidRPr="008F5B2C" w:rsidRDefault="00E96491" w:rsidP="00E96491">
      <w:pPr>
        <w:rPr>
          <w:rFonts w:ascii="Arial" w:hAnsi="Arial"/>
        </w:rPr>
      </w:pPr>
      <w:r w:rsidRPr="008F5B2C">
        <w:rPr>
          <w:rFonts w:ascii="Arial" w:hAnsi="Arial"/>
        </w:rPr>
        <w:t xml:space="preserve">This action plan sets out our next steps to achieving gender equality at the Fair Work Ombudsman. Our objectives and stretch targets reflect the action areas outlined in </w:t>
      </w:r>
      <w:hyperlink r:id="rId13" w:history="1">
        <w:r w:rsidRPr="00AB3746">
          <w:rPr>
            <w:rStyle w:val="Hyperlink"/>
            <w:rFonts w:eastAsiaTheme="minorEastAsia" w:cs="Arial"/>
          </w:rPr>
          <w:t>Balancing the future: the Australian Public Service Gender Equality Strategy 2016-19</w:t>
        </w:r>
      </w:hyperlink>
      <w:r w:rsidRPr="008F5B2C">
        <w:rPr>
          <w:rFonts w:ascii="Arial" w:hAnsi="Arial"/>
          <w:color w:val="000000" w:themeColor="text1"/>
        </w:rPr>
        <w:t xml:space="preserve"> (APS Strategy).</w:t>
      </w:r>
      <w:r w:rsidRPr="008F5B2C">
        <w:rPr>
          <w:rFonts w:ascii="Arial" w:hAnsi="Arial"/>
        </w:rPr>
        <w:t xml:space="preserve"> Achieving gender equality in the Fair Work Ombudsman will be driven by the three principles outlined in the APS Strategy:</w:t>
      </w:r>
    </w:p>
    <w:p w14:paraId="63F07212" w14:textId="77777777" w:rsidR="00E96491" w:rsidRPr="00AB3746" w:rsidRDefault="00E96491" w:rsidP="00E96491">
      <w:pPr>
        <w:pStyle w:val="ListParagraph"/>
        <w:numPr>
          <w:ilvl w:val="0"/>
          <w:numId w:val="7"/>
        </w:numPr>
        <w:ind w:left="360"/>
        <w:jc w:val="left"/>
        <w:rPr>
          <w:rFonts w:ascii="Arial" w:hAnsi="Arial"/>
          <w:szCs w:val="22"/>
        </w:rPr>
      </w:pPr>
      <w:r w:rsidRPr="00AB3746">
        <w:rPr>
          <w:rFonts w:ascii="Arial" w:hAnsi="Arial"/>
          <w:b/>
          <w:szCs w:val="22"/>
        </w:rPr>
        <w:t xml:space="preserve">Transformational change </w:t>
      </w:r>
      <w:r w:rsidRPr="00AB3746">
        <w:rPr>
          <w:rFonts w:ascii="Arial" w:hAnsi="Arial"/>
          <w:szCs w:val="22"/>
        </w:rPr>
        <w:t xml:space="preserve"> ̶  our leaders, managers, and supervisors will be bold in creating inclusive workplace cultures.</w:t>
      </w:r>
    </w:p>
    <w:p w14:paraId="1A55079D" w14:textId="77777777" w:rsidR="00E96491" w:rsidRPr="00AB3746" w:rsidRDefault="00E96491" w:rsidP="00E96491">
      <w:pPr>
        <w:pStyle w:val="ListParagraph"/>
        <w:numPr>
          <w:ilvl w:val="0"/>
          <w:numId w:val="7"/>
        </w:numPr>
        <w:ind w:left="360"/>
        <w:jc w:val="left"/>
        <w:rPr>
          <w:rFonts w:ascii="Arial" w:hAnsi="Arial"/>
          <w:szCs w:val="22"/>
        </w:rPr>
      </w:pPr>
      <w:r w:rsidRPr="00AB3746">
        <w:rPr>
          <w:rFonts w:ascii="Arial" w:hAnsi="Arial"/>
          <w:b/>
          <w:szCs w:val="22"/>
        </w:rPr>
        <w:t xml:space="preserve">Commitment </w:t>
      </w:r>
      <w:r w:rsidRPr="00AB3746">
        <w:rPr>
          <w:rFonts w:ascii="Arial" w:hAnsi="Arial"/>
          <w:szCs w:val="22"/>
        </w:rPr>
        <w:t xml:space="preserve"> ̶  our leaders will give priority to ensuring gender equality at the Fair Work Ombudsman and will allocate resources accordingly.</w:t>
      </w:r>
    </w:p>
    <w:p w14:paraId="4B11DB2A" w14:textId="77777777" w:rsidR="00E96491" w:rsidRPr="00AB3746" w:rsidRDefault="00E96491" w:rsidP="00E96491">
      <w:pPr>
        <w:pStyle w:val="ListParagraph"/>
        <w:numPr>
          <w:ilvl w:val="0"/>
          <w:numId w:val="7"/>
        </w:numPr>
        <w:ind w:left="360"/>
        <w:jc w:val="left"/>
        <w:rPr>
          <w:rFonts w:ascii="Arial" w:hAnsi="Arial"/>
          <w:szCs w:val="22"/>
        </w:rPr>
      </w:pPr>
      <w:r w:rsidRPr="00AB3746">
        <w:rPr>
          <w:rFonts w:ascii="Arial" w:hAnsi="Arial"/>
          <w:b/>
          <w:szCs w:val="22"/>
        </w:rPr>
        <w:t xml:space="preserve">Accountability </w:t>
      </w:r>
      <w:r w:rsidRPr="00AB3746">
        <w:rPr>
          <w:rFonts w:ascii="Arial" w:hAnsi="Arial"/>
          <w:szCs w:val="22"/>
        </w:rPr>
        <w:t xml:space="preserve"> ̶  our leaders at all levels are accountable for driving gender equality at the Fair Work Ombudsman.</w:t>
      </w:r>
    </w:p>
    <w:p w14:paraId="45C16549" w14:textId="30F60302" w:rsidR="00E96491" w:rsidRPr="008F5B2C" w:rsidRDefault="00E96491" w:rsidP="00E96491">
      <w:pPr>
        <w:rPr>
          <w:rFonts w:ascii="Arial" w:hAnsi="Arial"/>
        </w:rPr>
      </w:pPr>
      <w:r w:rsidRPr="008F5B2C">
        <w:rPr>
          <w:rFonts w:ascii="Arial" w:hAnsi="Arial"/>
        </w:rPr>
        <w:t>This action plan puts forward an approach to embed gender equality across our agency in our culture, leadership and systems. To ensure gender equality is given a continued and consistent emphasis, we will frequently measure and evaluate our approach, reporting regularly to our Executive Committee.</w:t>
      </w:r>
    </w:p>
    <w:p w14:paraId="2B48EF63" w14:textId="113BBF25" w:rsidR="00E96491" w:rsidRPr="00AA3C88" w:rsidRDefault="00E96491" w:rsidP="00E96491">
      <w:pPr>
        <w:rPr>
          <w:rFonts w:ascii="Arial" w:hAnsi="Arial"/>
        </w:rPr>
      </w:pPr>
      <w:r w:rsidRPr="008F5B2C">
        <w:rPr>
          <w:rFonts w:ascii="Arial" w:hAnsi="Arial"/>
        </w:rPr>
        <w:t xml:space="preserve">By taking this approach, we will exemplify the model contemporary workplace – one which </w:t>
      </w:r>
      <w:r>
        <w:rPr>
          <w:rFonts w:ascii="Arial" w:hAnsi="Arial"/>
        </w:rPr>
        <w:t xml:space="preserve">is inclusive, </w:t>
      </w:r>
      <w:r w:rsidRPr="008F5B2C">
        <w:rPr>
          <w:rFonts w:ascii="Arial" w:hAnsi="Arial"/>
        </w:rPr>
        <w:t>embraces diversity and recognises the skills and potential of all employees, regardless of their gender.</w:t>
      </w:r>
      <w:r>
        <w:rPr>
          <w:rFonts w:ascii="Arial" w:hAnsi="Arial"/>
          <w:color w:val="000000" w:themeColor="text1"/>
        </w:rPr>
        <w:t>We</w:t>
      </w:r>
      <w:r w:rsidRPr="008F5B2C">
        <w:rPr>
          <w:rFonts w:ascii="Arial" w:hAnsi="Arial"/>
          <w:color w:val="000000" w:themeColor="text1"/>
        </w:rPr>
        <w:t xml:space="preserve"> encourage all staff to consider how they can personally contribute to the achievement of gender equality at the Fair Work Ombudsman.</w:t>
      </w:r>
    </w:p>
    <w:p w14:paraId="2E40B67A" w14:textId="72B1336C" w:rsidR="00AA3C88" w:rsidRDefault="00E96491" w:rsidP="00AA3C88">
      <w:pPr>
        <w:rPr>
          <w:rFonts w:ascii="Arial" w:hAnsi="Arial"/>
          <w:color w:val="000000" w:themeColor="text1"/>
        </w:rPr>
      </w:pPr>
      <w:r w:rsidRPr="008F5B2C">
        <w:rPr>
          <w:rFonts w:ascii="Arial" w:hAnsi="Arial"/>
          <w:color w:val="000000" w:themeColor="text1"/>
        </w:rPr>
        <w:t>Janine Webster</w:t>
      </w:r>
      <w:r w:rsidR="00AA3C88">
        <w:rPr>
          <w:rFonts w:ascii="Arial" w:hAnsi="Arial"/>
          <w:color w:val="000000" w:themeColor="text1"/>
        </w:rPr>
        <w:t xml:space="preserve">, </w:t>
      </w:r>
      <w:r w:rsidRPr="008F5B2C">
        <w:rPr>
          <w:rFonts w:ascii="Arial" w:hAnsi="Arial"/>
          <w:color w:val="000000" w:themeColor="text1"/>
        </w:rPr>
        <w:t>Fair Work Ombudsman Gender Equality Network Sponsor</w:t>
      </w:r>
    </w:p>
    <w:p w14:paraId="71E74961" w14:textId="77777777" w:rsidR="00AA3C88" w:rsidRDefault="00E96491" w:rsidP="00AA3C88">
      <w:pPr>
        <w:rPr>
          <w:rFonts w:ascii="Arial" w:hAnsi="Arial"/>
          <w:noProof/>
          <w:color w:val="000000" w:themeColor="text1"/>
          <w:lang w:eastAsia="en-AU"/>
        </w:rPr>
      </w:pPr>
      <w:r>
        <w:rPr>
          <w:rFonts w:ascii="Arial" w:hAnsi="Arial"/>
          <w:color w:val="000000" w:themeColor="text1"/>
        </w:rPr>
        <w:t>June 2018</w:t>
      </w:r>
      <w:r w:rsidR="00AA3C88" w:rsidRPr="00AA3C88">
        <w:rPr>
          <w:rFonts w:ascii="Arial" w:hAnsi="Arial"/>
          <w:color w:val="000000" w:themeColor="text1"/>
        </w:rPr>
        <w:t xml:space="preserve"> </w:t>
      </w:r>
    </w:p>
    <w:p w14:paraId="2629E3A7" w14:textId="635EB384" w:rsidR="00E96491" w:rsidRPr="00E96491" w:rsidRDefault="00AA3C88" w:rsidP="00AA3C88">
      <w:pPr>
        <w:rPr>
          <w:rFonts w:ascii="Arial" w:hAnsi="Arial"/>
          <w:color w:val="000000" w:themeColor="text1"/>
        </w:rPr>
      </w:pPr>
      <w:r w:rsidRPr="00AA3C88">
        <w:rPr>
          <w:rFonts w:ascii="Arial" w:hAnsi="Arial"/>
          <w:noProof/>
          <w:color w:val="000000" w:themeColor="text1"/>
          <w:lang w:eastAsia="en-AU"/>
        </w:rPr>
        <w:drawing>
          <wp:inline distT="0" distB="0" distL="0" distR="0" wp14:anchorId="4319BC33" wp14:editId="20212EE8">
            <wp:extent cx="630000" cy="662400"/>
            <wp:effectExtent l="0" t="0" r="0" b="4445"/>
            <wp:docPr id="1" name="Picture 1" descr="Image of Janine Webster" title="Janine Web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000" cy="662400"/>
                    </a:xfrm>
                    <a:prstGeom prst="rect">
                      <a:avLst/>
                    </a:prstGeom>
                    <a:noFill/>
                    <a:ln>
                      <a:noFill/>
                    </a:ln>
                  </pic:spPr>
                </pic:pic>
              </a:graphicData>
            </a:graphic>
          </wp:inline>
        </w:drawing>
      </w:r>
      <w:r w:rsidR="00E96491">
        <w:br w:type="page"/>
      </w:r>
    </w:p>
    <w:p w14:paraId="300F466D" w14:textId="77777777" w:rsidR="00E96491" w:rsidRDefault="00E96491" w:rsidP="00E96491">
      <w:pPr>
        <w:pStyle w:val="Heading2"/>
      </w:pPr>
      <w:r>
        <w:lastRenderedPageBreak/>
        <w:t>Introduction</w:t>
      </w:r>
    </w:p>
    <w:p w14:paraId="02C2ECE1" w14:textId="28C9BB6F" w:rsidR="00E96491" w:rsidRPr="00026E74" w:rsidRDefault="00E96491" w:rsidP="00E96491">
      <w:pPr>
        <w:rPr>
          <w:rFonts w:ascii="Arial" w:hAnsi="Arial"/>
          <w:color w:val="000000" w:themeColor="text1"/>
        </w:rPr>
      </w:pPr>
      <w:r w:rsidRPr="00A81333">
        <w:rPr>
          <w:rFonts w:ascii="Arial" w:hAnsi="Arial"/>
          <w:color w:val="000000" w:themeColor="text1"/>
        </w:rPr>
        <w:t>This action plan is guided by the APS Strategy and sets out our approach to progressing gender equality at the Fair Work Ombudsman.</w:t>
      </w:r>
    </w:p>
    <w:p w14:paraId="03103DB5" w14:textId="14A5874C" w:rsidR="00E96491" w:rsidRDefault="00E96491" w:rsidP="00026E74">
      <w:pPr>
        <w:pStyle w:val="Heading2"/>
      </w:pPr>
      <w:r w:rsidRPr="00E96491">
        <w:t>Current state</w:t>
      </w:r>
    </w:p>
    <w:p w14:paraId="211BF0AF" w14:textId="77777777" w:rsidR="00E96491" w:rsidRPr="008F5B2C" w:rsidRDefault="00E96491" w:rsidP="00E96491">
      <w:pPr>
        <w:pStyle w:val="Heading3"/>
      </w:pPr>
      <w:r w:rsidRPr="008F5B2C">
        <w:t>C</w:t>
      </w:r>
      <w:r>
        <w:t>ulture</w:t>
      </w:r>
      <w:r w:rsidRPr="008F5B2C">
        <w:t xml:space="preserve"> </w:t>
      </w:r>
    </w:p>
    <w:p w14:paraId="47ED2D0A" w14:textId="77777777" w:rsidR="00E96491" w:rsidRPr="00F76928" w:rsidRDefault="00E96491" w:rsidP="00E96491">
      <w:pPr>
        <w:rPr>
          <w:rFonts w:ascii="Arial" w:hAnsi="Arial"/>
          <w:color w:val="000000" w:themeColor="text1"/>
        </w:rPr>
      </w:pPr>
      <w:r w:rsidRPr="00F76928">
        <w:rPr>
          <w:rFonts w:ascii="Arial" w:hAnsi="Arial"/>
          <w:color w:val="000000" w:themeColor="text1"/>
        </w:rPr>
        <w:t>87% of employees think we are committed to creating a diverse workforce.</w:t>
      </w:r>
    </w:p>
    <w:p w14:paraId="38894BC8" w14:textId="083229D8" w:rsidR="00E96491" w:rsidRPr="00026E74" w:rsidRDefault="00E96491" w:rsidP="00026E74">
      <w:pPr>
        <w:rPr>
          <w:rFonts w:ascii="Arial" w:hAnsi="Arial"/>
          <w:color w:val="000000" w:themeColor="text1"/>
        </w:rPr>
      </w:pPr>
      <w:r w:rsidRPr="00F76928">
        <w:rPr>
          <w:rFonts w:ascii="Arial" w:hAnsi="Arial"/>
          <w:color w:val="000000" w:themeColor="text1"/>
        </w:rPr>
        <w:t>85% of employees think our workplace culture supports people to achieve a good work-life balance</w:t>
      </w:r>
      <w:bookmarkStart w:id="1" w:name="_Ref512933389"/>
      <w:r w:rsidRPr="00026E74">
        <w:rPr>
          <w:rFonts w:ascii="Arial" w:hAnsi="Arial"/>
          <w:bCs/>
          <w:sz w:val="20"/>
          <w:szCs w:val="20"/>
          <w:vertAlign w:val="superscript"/>
          <w:lang w:eastAsia="en-AU"/>
        </w:rPr>
        <w:footnoteReference w:id="1"/>
      </w:r>
      <w:bookmarkEnd w:id="1"/>
      <w:r w:rsidRPr="00026E74">
        <w:rPr>
          <w:rFonts w:ascii="Arial" w:hAnsi="Arial"/>
          <w:bCs/>
          <w:sz w:val="20"/>
          <w:szCs w:val="20"/>
          <w:vertAlign w:val="superscript"/>
          <w:lang w:eastAsia="en-AU"/>
        </w:rPr>
        <w:t>.</w:t>
      </w:r>
    </w:p>
    <w:p w14:paraId="062D17CB" w14:textId="77777777" w:rsidR="00E96491" w:rsidRPr="008F5B2C" w:rsidRDefault="00E96491" w:rsidP="00E96491">
      <w:pPr>
        <w:pStyle w:val="Heading3"/>
      </w:pPr>
      <w:r>
        <w:t>Leadership</w:t>
      </w:r>
      <w:r w:rsidRPr="008F5B2C">
        <w:t xml:space="preserve"> </w:t>
      </w:r>
    </w:p>
    <w:p w14:paraId="0AF67BF3" w14:textId="5C77B83C" w:rsidR="00E96491" w:rsidRPr="00F76928" w:rsidRDefault="00E96491" w:rsidP="00E96491">
      <w:pPr>
        <w:rPr>
          <w:rFonts w:ascii="Arial" w:hAnsi="Arial"/>
          <w:color w:val="000000" w:themeColor="text1"/>
        </w:rPr>
      </w:pPr>
      <w:r w:rsidRPr="00F76928">
        <w:rPr>
          <w:rFonts w:ascii="Arial" w:hAnsi="Arial"/>
          <w:color w:val="000000" w:themeColor="text1"/>
        </w:rPr>
        <w:t>We have higher participation by women at all classificati</w:t>
      </w:r>
      <w:r w:rsidR="00026E74">
        <w:rPr>
          <w:rFonts w:ascii="Arial" w:hAnsi="Arial"/>
          <w:color w:val="000000" w:themeColor="text1"/>
        </w:rPr>
        <w:t>on levels except for EL2 (38%).</w:t>
      </w:r>
    </w:p>
    <w:p w14:paraId="1F711C1E" w14:textId="255E03BD" w:rsidR="00E96491" w:rsidRDefault="00E96491" w:rsidP="00E96491">
      <w:pPr>
        <w:rPr>
          <w:rFonts w:ascii="Arial" w:hAnsi="Arial"/>
          <w:color w:val="000000" w:themeColor="text1"/>
        </w:rPr>
      </w:pPr>
      <w:r w:rsidRPr="00F76928">
        <w:rPr>
          <w:rFonts w:ascii="Arial" w:hAnsi="Arial"/>
          <w:color w:val="000000" w:themeColor="text1"/>
        </w:rPr>
        <w:t>SES Band 1 (44%) and SES Band 2 (33%)</w:t>
      </w:r>
      <w:bookmarkStart w:id="2" w:name="_Ref512933876"/>
      <w:r w:rsidRPr="00026E74">
        <w:rPr>
          <w:rFonts w:ascii="Arial" w:hAnsi="Arial"/>
          <w:bCs/>
          <w:sz w:val="20"/>
          <w:szCs w:val="20"/>
          <w:vertAlign w:val="superscript"/>
          <w:lang w:eastAsia="en-AU"/>
        </w:rPr>
        <w:footnoteReference w:id="2"/>
      </w:r>
      <w:bookmarkEnd w:id="2"/>
      <w:r w:rsidRPr="00026E74">
        <w:rPr>
          <w:rFonts w:ascii="Arial" w:hAnsi="Arial"/>
          <w:bCs/>
          <w:sz w:val="20"/>
          <w:szCs w:val="20"/>
          <w:vertAlign w:val="superscript"/>
          <w:lang w:eastAsia="en-AU"/>
        </w:rPr>
        <w:t>.</w:t>
      </w:r>
    </w:p>
    <w:p w14:paraId="51505B60" w14:textId="77777777" w:rsidR="00E96491" w:rsidRDefault="00E96491" w:rsidP="00E96491">
      <w:pPr>
        <w:rPr>
          <w:rFonts w:eastAsiaTheme="majorEastAsia" w:cs="Helvetica"/>
          <w:b/>
          <w:bCs/>
          <w:color w:val="0094A8"/>
        </w:rPr>
      </w:pPr>
      <w:r w:rsidRPr="0083519D">
        <w:rPr>
          <w:rFonts w:eastAsiaTheme="majorEastAsia" w:cs="Helvetica"/>
          <w:b/>
          <w:bCs/>
          <w:color w:val="0094A8"/>
        </w:rPr>
        <w:t>Employment practices</w:t>
      </w:r>
    </w:p>
    <w:p w14:paraId="123AFAA0" w14:textId="215AA654" w:rsidR="00E96491" w:rsidRPr="00026E74" w:rsidRDefault="00E96491" w:rsidP="00026E74">
      <w:pPr>
        <w:rPr>
          <w:rFonts w:eastAsiaTheme="majorEastAsia" w:cs="Helvetica"/>
          <w:b/>
          <w:bCs/>
          <w:color w:val="0094A8"/>
        </w:rPr>
      </w:pPr>
      <w:r w:rsidRPr="0083519D">
        <w:rPr>
          <w:rFonts w:ascii="Arial" w:eastAsia="Cambria" w:hAnsi="Arial"/>
          <w:color w:val="000000" w:themeColor="text1"/>
        </w:rPr>
        <w:t>Gender imbalance exists in some branches.</w:t>
      </w:r>
    </w:p>
    <w:p w14:paraId="7BAD8B5C" w14:textId="77777777" w:rsidR="00E96491" w:rsidRPr="008F5B2C" w:rsidRDefault="00E96491" w:rsidP="00E96491">
      <w:pPr>
        <w:pStyle w:val="Heading3"/>
      </w:pPr>
      <w:r>
        <w:t>Flexibility</w:t>
      </w:r>
      <w:r w:rsidRPr="008F5B2C">
        <w:t xml:space="preserve"> </w:t>
      </w:r>
    </w:p>
    <w:p w14:paraId="4BC85450" w14:textId="77777777" w:rsidR="00E96491" w:rsidRPr="00F76928" w:rsidRDefault="00E96491" w:rsidP="00E96491">
      <w:pPr>
        <w:rPr>
          <w:rFonts w:ascii="Arial" w:hAnsi="Arial"/>
          <w:color w:val="000000" w:themeColor="text1"/>
        </w:rPr>
      </w:pPr>
      <w:r w:rsidRPr="00F76928">
        <w:rPr>
          <w:rFonts w:ascii="Arial" w:hAnsi="Arial"/>
          <w:color w:val="000000" w:themeColor="text1"/>
        </w:rPr>
        <w:t>88% of employees are satisfied with their non-monetary employment conditions such as leave, flexible work arrangements and other benefits</w:t>
      </w:r>
      <w:r w:rsidRPr="00026E74">
        <w:rPr>
          <w:rFonts w:ascii="Arial" w:hAnsi="Arial"/>
          <w:bCs/>
          <w:sz w:val="20"/>
          <w:szCs w:val="20"/>
          <w:vertAlign w:val="superscript"/>
          <w:lang w:eastAsia="en-AU"/>
        </w:rPr>
        <w:fldChar w:fldCharType="begin"/>
      </w:r>
      <w:r w:rsidRPr="00026E74">
        <w:rPr>
          <w:rFonts w:ascii="Arial" w:hAnsi="Arial"/>
          <w:bCs/>
          <w:sz w:val="20"/>
          <w:szCs w:val="20"/>
          <w:vertAlign w:val="superscript"/>
          <w:lang w:eastAsia="en-AU"/>
        </w:rPr>
        <w:instrText xml:space="preserve"> NOTEREF _Ref512933389 \f \h  \* MERGEFORMAT </w:instrText>
      </w:r>
      <w:r w:rsidRPr="00026E74">
        <w:rPr>
          <w:rFonts w:ascii="Arial" w:hAnsi="Arial"/>
          <w:bCs/>
          <w:sz w:val="20"/>
          <w:szCs w:val="20"/>
          <w:vertAlign w:val="superscript"/>
          <w:lang w:eastAsia="en-AU"/>
        </w:rPr>
      </w:r>
      <w:r w:rsidRPr="00026E74">
        <w:rPr>
          <w:rFonts w:ascii="Arial" w:hAnsi="Arial"/>
          <w:bCs/>
          <w:sz w:val="20"/>
          <w:szCs w:val="20"/>
          <w:vertAlign w:val="superscript"/>
          <w:lang w:eastAsia="en-AU"/>
        </w:rPr>
        <w:fldChar w:fldCharType="separate"/>
      </w:r>
      <w:r w:rsidRPr="00026E74">
        <w:rPr>
          <w:rFonts w:ascii="Arial" w:hAnsi="Arial"/>
          <w:bCs/>
          <w:sz w:val="20"/>
          <w:szCs w:val="20"/>
          <w:vertAlign w:val="superscript"/>
          <w:lang w:eastAsia="en-AU"/>
        </w:rPr>
        <w:t>1</w:t>
      </w:r>
      <w:r w:rsidRPr="00026E74">
        <w:rPr>
          <w:rFonts w:ascii="Arial" w:hAnsi="Arial"/>
          <w:bCs/>
          <w:sz w:val="20"/>
          <w:szCs w:val="20"/>
          <w:vertAlign w:val="superscript"/>
          <w:lang w:eastAsia="en-AU"/>
        </w:rPr>
        <w:fldChar w:fldCharType="end"/>
      </w:r>
      <w:r w:rsidRPr="00F76928">
        <w:rPr>
          <w:rFonts w:ascii="Arial" w:hAnsi="Arial"/>
          <w:color w:val="000000" w:themeColor="text1"/>
        </w:rPr>
        <w:t>.</w:t>
      </w:r>
    </w:p>
    <w:p w14:paraId="167AF040" w14:textId="18F3AD4A" w:rsidR="00E96491" w:rsidRPr="00026E74" w:rsidRDefault="00E96491" w:rsidP="00026E74">
      <w:pPr>
        <w:rPr>
          <w:rFonts w:ascii="Arial" w:hAnsi="Arial"/>
          <w:color w:val="000000" w:themeColor="text1"/>
        </w:rPr>
      </w:pPr>
      <w:r w:rsidRPr="00F76928">
        <w:rPr>
          <w:rFonts w:ascii="Arial" w:hAnsi="Arial"/>
          <w:color w:val="000000" w:themeColor="text1"/>
        </w:rPr>
        <w:t>25% of employees work on a part-time basis, made up of 90% women and 10% men</w:t>
      </w:r>
      <w:r w:rsidRPr="00026E74">
        <w:rPr>
          <w:rFonts w:ascii="Arial" w:hAnsi="Arial"/>
          <w:bCs/>
          <w:sz w:val="20"/>
          <w:szCs w:val="20"/>
          <w:vertAlign w:val="superscript"/>
          <w:lang w:eastAsia="en-AU"/>
        </w:rPr>
        <w:footnoteReference w:id="3"/>
      </w:r>
      <w:r w:rsidRPr="00F76928">
        <w:rPr>
          <w:rFonts w:ascii="Arial" w:hAnsi="Arial"/>
          <w:color w:val="000000" w:themeColor="text1"/>
        </w:rPr>
        <w:t>.</w:t>
      </w:r>
    </w:p>
    <w:p w14:paraId="055F8718" w14:textId="77777777" w:rsidR="00E96491" w:rsidRPr="008F5B2C" w:rsidRDefault="00E96491" w:rsidP="00E96491">
      <w:pPr>
        <w:pStyle w:val="Heading3"/>
      </w:pPr>
      <w:r>
        <w:t>Measurement</w:t>
      </w:r>
      <w:r w:rsidRPr="008F5B2C">
        <w:t xml:space="preserve"> </w:t>
      </w:r>
    </w:p>
    <w:p w14:paraId="3CCE4DE7" w14:textId="77777777" w:rsidR="00E96491" w:rsidRPr="008F5B2C" w:rsidRDefault="00E96491" w:rsidP="00E96491">
      <w:r w:rsidRPr="00F76928">
        <w:rPr>
          <w:rFonts w:ascii="Arial" w:hAnsi="Arial"/>
          <w:color w:val="000000" w:themeColor="text1"/>
        </w:rPr>
        <w:t>We are 62% women and 38% men, and no employees have identified as gender X</w:t>
      </w:r>
      <w:r w:rsidRPr="00026E74">
        <w:rPr>
          <w:rFonts w:ascii="Arial" w:hAnsi="Arial"/>
          <w:bCs/>
          <w:sz w:val="20"/>
          <w:szCs w:val="20"/>
          <w:vertAlign w:val="superscript"/>
          <w:lang w:eastAsia="en-AU"/>
        </w:rPr>
        <w:footnoteReference w:id="4"/>
      </w:r>
      <w:r w:rsidRPr="00F76928">
        <w:rPr>
          <w:rFonts w:ascii="Arial" w:hAnsi="Arial"/>
          <w:color w:val="000000" w:themeColor="text1"/>
        </w:rPr>
        <w:t xml:space="preserve">. </w:t>
      </w:r>
    </w:p>
    <w:p w14:paraId="518F7ADF" w14:textId="77777777" w:rsidR="00E96491" w:rsidRPr="008F5B2C" w:rsidRDefault="00E96491" w:rsidP="00E96491">
      <w:pPr>
        <w:autoSpaceDE w:val="0"/>
        <w:autoSpaceDN w:val="0"/>
        <w:adjustRightInd w:val="0"/>
        <w:rPr>
          <w:rFonts w:ascii="Arial" w:hAnsi="Arial"/>
          <w:b/>
          <w:bCs/>
          <w:color w:val="31849B" w:themeColor="accent5" w:themeShade="BF"/>
        </w:rPr>
      </w:pPr>
    </w:p>
    <w:p w14:paraId="0869A2B1" w14:textId="77777777" w:rsidR="00E96491" w:rsidRPr="00DF61E6" w:rsidRDefault="00E96491" w:rsidP="00E96491">
      <w:pPr>
        <w:rPr>
          <w:rFonts w:ascii="Arial" w:hAnsi="Arial"/>
          <w:b/>
          <w:bCs/>
          <w:color w:val="0094A8"/>
          <w:sz w:val="28"/>
          <w:szCs w:val="28"/>
        </w:rPr>
      </w:pPr>
      <w:r w:rsidRPr="008F5B2C">
        <w:rPr>
          <w:rFonts w:ascii="Arial" w:hAnsi="Arial"/>
          <w:b/>
          <w:bCs/>
          <w:color w:val="31849B" w:themeColor="accent5" w:themeShade="BF"/>
        </w:rPr>
        <w:br w:type="page"/>
      </w:r>
      <w:r w:rsidRPr="006A4B6A">
        <w:rPr>
          <w:rFonts w:eastAsiaTheme="majorEastAsia" w:cs="Helvetica"/>
          <w:b/>
          <w:bCs/>
          <w:color w:val="0094A8"/>
          <w:sz w:val="36"/>
          <w:szCs w:val="36"/>
        </w:rPr>
        <w:lastRenderedPageBreak/>
        <w:t>Our objectives</w:t>
      </w:r>
    </w:p>
    <w:p w14:paraId="5793266F" w14:textId="77777777" w:rsidR="00E96491" w:rsidRPr="00DF61E6" w:rsidRDefault="00E96491" w:rsidP="00E96491">
      <w:pPr>
        <w:tabs>
          <w:tab w:val="left" w:pos="2280"/>
        </w:tabs>
        <w:spacing w:after="200" w:line="276" w:lineRule="auto"/>
        <w:rPr>
          <w:rFonts w:ascii="Arial" w:eastAsia="Calibri" w:hAnsi="Arial"/>
          <w:szCs w:val="22"/>
        </w:rPr>
      </w:pPr>
      <w:r w:rsidRPr="00DF61E6">
        <w:rPr>
          <w:rFonts w:ascii="Arial" w:eastAsia="Calibri" w:hAnsi="Arial"/>
          <w:szCs w:val="22"/>
        </w:rPr>
        <w:t xml:space="preserve">The action areas in the APS Strategy have been considered in the context of our current environment at the Fair Work Ombudsman, and the following objectives have been identified as the biggest contributors to our gender equality progress.  Stretch targets have been set for each objective to indicate how we will measure success.  Our action plan sets out how we will achieve these objectives. </w:t>
      </w:r>
    </w:p>
    <w:tbl>
      <w:tblPr>
        <w:tblStyle w:val="TableGrid1"/>
        <w:tblW w:w="8505" w:type="dxa"/>
        <w:jc w:val="center"/>
        <w:tblLook w:val="04A0" w:firstRow="1" w:lastRow="0" w:firstColumn="1" w:lastColumn="0" w:noHBand="0" w:noVBand="1"/>
        <w:tblCaption w:val="Our objectives and stretch targets"/>
        <w:tblDescription w:val="Table goes through each of the objectives and stretch targets."/>
      </w:tblPr>
      <w:tblGrid>
        <w:gridCol w:w="4006"/>
        <w:gridCol w:w="4499"/>
      </w:tblGrid>
      <w:tr w:rsidR="00E96491" w:rsidRPr="00DF61E6" w14:paraId="56C47BF0" w14:textId="77777777" w:rsidTr="00DE51CF">
        <w:trPr>
          <w:trHeight w:val="892"/>
          <w:tblHeader/>
          <w:jc w:val="center"/>
        </w:trPr>
        <w:tc>
          <w:tcPr>
            <w:tcW w:w="5807" w:type="dxa"/>
            <w:tcBorders>
              <w:bottom w:val="single" w:sz="4" w:space="0" w:color="auto"/>
            </w:tcBorders>
            <w:shd w:val="clear" w:color="auto" w:fill="0094A8"/>
          </w:tcPr>
          <w:p w14:paraId="43364AC3" w14:textId="77777777" w:rsidR="00E96491" w:rsidRPr="00DF61E6" w:rsidRDefault="00E96491" w:rsidP="000403C1">
            <w:pPr>
              <w:rPr>
                <w:rFonts w:ascii="Arial" w:hAnsi="Arial"/>
                <w:b/>
                <w:color w:val="FFFFFF"/>
                <w:sz w:val="28"/>
                <w:szCs w:val="28"/>
                <w:lang w:eastAsia="en-AU"/>
              </w:rPr>
            </w:pPr>
            <w:r w:rsidRPr="00DF61E6">
              <w:rPr>
                <w:rFonts w:ascii="Arial" w:hAnsi="Arial"/>
                <w:b/>
                <w:color w:val="FFFFFF"/>
                <w:sz w:val="28"/>
                <w:szCs w:val="28"/>
                <w:lang w:eastAsia="en-AU"/>
              </w:rPr>
              <w:t>Our objectives</w:t>
            </w:r>
          </w:p>
          <w:p w14:paraId="14DEFDE6" w14:textId="77777777" w:rsidR="00E96491" w:rsidRPr="00DF61E6" w:rsidRDefault="00E96491" w:rsidP="000403C1">
            <w:pPr>
              <w:rPr>
                <w:rFonts w:ascii="Arial" w:hAnsi="Arial"/>
                <w:b/>
                <w:color w:val="FFFFFF"/>
                <w:sz w:val="28"/>
                <w:szCs w:val="28"/>
                <w:lang w:eastAsia="en-AU"/>
              </w:rPr>
            </w:pPr>
            <w:r w:rsidRPr="00DF61E6">
              <w:rPr>
                <w:rFonts w:ascii="Arial" w:hAnsi="Arial"/>
                <w:i/>
                <w:color w:val="FFFFFF"/>
                <w:sz w:val="20"/>
                <w:szCs w:val="20"/>
                <w:lang w:eastAsia="en-AU"/>
              </w:rPr>
              <w:t>What we aim to achieve</w:t>
            </w:r>
          </w:p>
        </w:tc>
        <w:tc>
          <w:tcPr>
            <w:tcW w:w="6521" w:type="dxa"/>
            <w:tcBorders>
              <w:bottom w:val="single" w:sz="4" w:space="0" w:color="auto"/>
            </w:tcBorders>
            <w:shd w:val="clear" w:color="auto" w:fill="0094A8"/>
          </w:tcPr>
          <w:p w14:paraId="49BF18FA" w14:textId="77777777" w:rsidR="00E96491" w:rsidRPr="00DF61E6" w:rsidRDefault="00E96491" w:rsidP="000403C1">
            <w:pPr>
              <w:rPr>
                <w:rFonts w:ascii="Arial" w:hAnsi="Arial"/>
                <w:b/>
                <w:color w:val="FFFFFF"/>
                <w:sz w:val="28"/>
                <w:szCs w:val="28"/>
                <w:lang w:eastAsia="en-AU"/>
              </w:rPr>
            </w:pPr>
            <w:r w:rsidRPr="00DF61E6">
              <w:rPr>
                <w:rFonts w:ascii="Arial" w:hAnsi="Arial"/>
                <w:b/>
                <w:color w:val="FFFFFF"/>
                <w:sz w:val="28"/>
                <w:szCs w:val="28"/>
                <w:lang w:eastAsia="en-AU"/>
              </w:rPr>
              <w:t>Our stretch targets</w:t>
            </w:r>
          </w:p>
          <w:p w14:paraId="432E000B" w14:textId="77777777" w:rsidR="00E96491" w:rsidRPr="00DF61E6" w:rsidRDefault="00E96491" w:rsidP="000403C1">
            <w:pPr>
              <w:rPr>
                <w:rFonts w:ascii="Arial" w:hAnsi="Arial"/>
                <w:i/>
                <w:color w:val="FFFFFF"/>
                <w:sz w:val="20"/>
                <w:szCs w:val="20"/>
                <w:lang w:eastAsia="en-AU"/>
              </w:rPr>
            </w:pPr>
            <w:r w:rsidRPr="00DF61E6">
              <w:rPr>
                <w:rFonts w:ascii="Arial" w:hAnsi="Arial"/>
                <w:i/>
                <w:color w:val="FFFFFF"/>
                <w:sz w:val="20"/>
                <w:szCs w:val="20"/>
                <w:lang w:eastAsia="en-AU"/>
              </w:rPr>
              <w:t>How we will measure success</w:t>
            </w:r>
          </w:p>
        </w:tc>
      </w:tr>
      <w:tr w:rsidR="00E96491" w:rsidRPr="00DF61E6" w14:paraId="45C4A03C" w14:textId="77777777" w:rsidTr="00DE51CF">
        <w:trPr>
          <w:trHeight w:val="784"/>
          <w:jc w:val="center"/>
        </w:trPr>
        <w:tc>
          <w:tcPr>
            <w:tcW w:w="5807" w:type="dxa"/>
            <w:tcBorders>
              <w:bottom w:val="single" w:sz="4" w:space="0" w:color="auto"/>
            </w:tcBorders>
          </w:tcPr>
          <w:p w14:paraId="4AD38D23" w14:textId="77777777" w:rsidR="00E96491" w:rsidRPr="00DF61E6" w:rsidRDefault="00E96491" w:rsidP="00E96491">
            <w:pPr>
              <w:numPr>
                <w:ilvl w:val="0"/>
                <w:numId w:val="8"/>
              </w:numPr>
              <w:spacing w:after="0" w:line="240" w:lineRule="auto"/>
              <w:ind w:left="307" w:hanging="284"/>
              <w:contextualSpacing/>
              <w:rPr>
                <w:rFonts w:ascii="Arial" w:hAnsi="Arial"/>
                <w:bCs/>
                <w:sz w:val="20"/>
                <w:szCs w:val="20"/>
                <w:lang w:eastAsia="en-AU"/>
              </w:rPr>
            </w:pPr>
            <w:r w:rsidRPr="00DF61E6">
              <w:rPr>
                <w:rFonts w:ascii="Arial" w:hAnsi="Arial"/>
                <w:bCs/>
                <w:sz w:val="20"/>
                <w:szCs w:val="20"/>
                <w:lang w:eastAsia="en-AU"/>
              </w:rPr>
              <w:t>Drive a culture where gender equality is valued and considered in planning and decision making</w:t>
            </w:r>
          </w:p>
        </w:tc>
        <w:tc>
          <w:tcPr>
            <w:tcW w:w="6521" w:type="dxa"/>
            <w:tcBorders>
              <w:bottom w:val="single" w:sz="4" w:space="0" w:color="auto"/>
            </w:tcBorders>
          </w:tcPr>
          <w:p w14:paraId="30DA6796" w14:textId="77777777" w:rsidR="00E96491" w:rsidRPr="00DF61E6" w:rsidRDefault="00E96491" w:rsidP="000403C1">
            <w:pPr>
              <w:rPr>
                <w:rFonts w:ascii="Arial" w:hAnsi="Arial"/>
                <w:bCs/>
                <w:sz w:val="20"/>
                <w:szCs w:val="20"/>
                <w:lang w:eastAsia="en-AU"/>
              </w:rPr>
            </w:pPr>
            <w:r w:rsidRPr="00DF61E6">
              <w:rPr>
                <w:rFonts w:ascii="Arial" w:hAnsi="Arial"/>
                <w:bCs/>
                <w:sz w:val="20"/>
                <w:szCs w:val="20"/>
                <w:lang w:eastAsia="en-AU"/>
              </w:rPr>
              <w:t>90% positive responses to relevant workplace culture questions in 2021 APS Employee Census.</w:t>
            </w:r>
          </w:p>
        </w:tc>
      </w:tr>
      <w:tr w:rsidR="00E96491" w:rsidRPr="00DF61E6" w14:paraId="0D5293F6" w14:textId="77777777" w:rsidTr="00DE51CF">
        <w:trPr>
          <w:trHeight w:val="1263"/>
          <w:jc w:val="center"/>
        </w:trPr>
        <w:tc>
          <w:tcPr>
            <w:tcW w:w="5807" w:type="dxa"/>
            <w:tcBorders>
              <w:top w:val="single" w:sz="4" w:space="0" w:color="auto"/>
              <w:bottom w:val="single" w:sz="4" w:space="0" w:color="auto"/>
            </w:tcBorders>
          </w:tcPr>
          <w:p w14:paraId="23440739" w14:textId="77777777" w:rsidR="00E96491" w:rsidRPr="00DF61E6" w:rsidRDefault="00E96491" w:rsidP="00E96491">
            <w:pPr>
              <w:numPr>
                <w:ilvl w:val="0"/>
                <w:numId w:val="8"/>
              </w:numPr>
              <w:spacing w:after="0" w:line="240" w:lineRule="auto"/>
              <w:ind w:left="306" w:hanging="284"/>
              <w:contextualSpacing/>
              <w:rPr>
                <w:rFonts w:ascii="Arial" w:hAnsi="Arial"/>
                <w:bCs/>
                <w:sz w:val="20"/>
                <w:szCs w:val="20"/>
                <w:lang w:eastAsia="en-AU"/>
              </w:rPr>
            </w:pPr>
            <w:r w:rsidRPr="00DF61E6">
              <w:rPr>
                <w:rFonts w:ascii="Arial" w:hAnsi="Arial"/>
                <w:bCs/>
                <w:sz w:val="20"/>
                <w:szCs w:val="20"/>
                <w:lang w:eastAsia="en-AU"/>
              </w:rPr>
              <w:t>Achieve greater gender equality in senior leadership (EL2 and above)</w:t>
            </w:r>
          </w:p>
        </w:tc>
        <w:tc>
          <w:tcPr>
            <w:tcW w:w="6521" w:type="dxa"/>
            <w:tcBorders>
              <w:top w:val="single" w:sz="4" w:space="0" w:color="auto"/>
              <w:bottom w:val="single" w:sz="4" w:space="0" w:color="auto"/>
            </w:tcBorders>
          </w:tcPr>
          <w:p w14:paraId="03D5DEFE" w14:textId="77777777" w:rsidR="00E96491" w:rsidRPr="00DF61E6" w:rsidRDefault="00E96491" w:rsidP="000403C1">
            <w:pPr>
              <w:rPr>
                <w:rFonts w:ascii="Arial" w:hAnsi="Arial"/>
                <w:bCs/>
                <w:sz w:val="20"/>
                <w:szCs w:val="20"/>
                <w:lang w:eastAsia="en-AU"/>
              </w:rPr>
            </w:pPr>
            <w:r w:rsidRPr="00DF61E6">
              <w:rPr>
                <w:rFonts w:ascii="Arial" w:hAnsi="Arial"/>
                <w:bCs/>
                <w:sz w:val="20"/>
                <w:szCs w:val="20"/>
                <w:lang w:eastAsia="en-AU"/>
              </w:rPr>
              <w:t>Approximately 50% representation of women in substantive EL2 and SES1 positions by 31 December 2021</w:t>
            </w:r>
            <w:r w:rsidRPr="00DF61E6">
              <w:rPr>
                <w:rFonts w:ascii="Arial" w:hAnsi="Arial"/>
                <w:bCs/>
                <w:sz w:val="20"/>
                <w:szCs w:val="20"/>
                <w:vertAlign w:val="superscript"/>
                <w:lang w:eastAsia="en-AU"/>
              </w:rPr>
              <w:footnoteReference w:id="5"/>
            </w:r>
            <w:r w:rsidRPr="00DF61E6">
              <w:rPr>
                <w:rFonts w:ascii="Arial" w:hAnsi="Arial"/>
                <w:bCs/>
                <w:sz w:val="20"/>
                <w:szCs w:val="20"/>
                <w:lang w:eastAsia="en-AU"/>
              </w:rPr>
              <w:t>.</w:t>
            </w:r>
          </w:p>
          <w:p w14:paraId="3ED85C1D" w14:textId="77777777" w:rsidR="00E96491" w:rsidRPr="00DF61E6" w:rsidRDefault="00E96491" w:rsidP="000403C1">
            <w:pPr>
              <w:rPr>
                <w:rFonts w:ascii="Arial" w:hAnsi="Arial"/>
                <w:bCs/>
                <w:sz w:val="20"/>
                <w:szCs w:val="20"/>
                <w:lang w:eastAsia="en-AU"/>
              </w:rPr>
            </w:pPr>
            <w:r w:rsidRPr="00DF61E6">
              <w:rPr>
                <w:rFonts w:ascii="Arial" w:hAnsi="Arial"/>
                <w:bCs/>
                <w:sz w:val="20"/>
                <w:szCs w:val="20"/>
                <w:lang w:eastAsia="en-AU"/>
              </w:rPr>
              <w:t xml:space="preserve">90% positive responses to relevant manager and SES questions in the 2021 APS Employee Census. </w:t>
            </w:r>
          </w:p>
        </w:tc>
      </w:tr>
      <w:tr w:rsidR="00E96491" w:rsidRPr="00DF61E6" w14:paraId="212B4ADC" w14:textId="77777777" w:rsidTr="00DE51CF">
        <w:trPr>
          <w:trHeight w:val="1267"/>
          <w:jc w:val="center"/>
        </w:trPr>
        <w:tc>
          <w:tcPr>
            <w:tcW w:w="5807" w:type="dxa"/>
            <w:tcBorders>
              <w:top w:val="single" w:sz="4" w:space="0" w:color="auto"/>
              <w:bottom w:val="single" w:sz="4" w:space="0" w:color="auto"/>
            </w:tcBorders>
          </w:tcPr>
          <w:p w14:paraId="34030C86" w14:textId="77777777" w:rsidR="00E96491" w:rsidRPr="00DF61E6" w:rsidRDefault="00E96491" w:rsidP="00E96491">
            <w:pPr>
              <w:numPr>
                <w:ilvl w:val="0"/>
                <w:numId w:val="8"/>
              </w:numPr>
              <w:spacing w:after="0" w:line="240" w:lineRule="auto"/>
              <w:ind w:left="306" w:hanging="284"/>
              <w:contextualSpacing/>
              <w:rPr>
                <w:rFonts w:ascii="Arial" w:hAnsi="Arial"/>
                <w:bCs/>
                <w:sz w:val="20"/>
                <w:szCs w:val="20"/>
                <w:lang w:eastAsia="en-AU"/>
              </w:rPr>
            </w:pPr>
            <w:r w:rsidRPr="00DF61E6">
              <w:rPr>
                <w:rFonts w:ascii="Arial" w:hAnsi="Arial"/>
                <w:bCs/>
                <w:sz w:val="20"/>
                <w:szCs w:val="20"/>
                <w:lang w:eastAsia="en-AU"/>
              </w:rPr>
              <w:t>Increase the take-up of flexibility arrangements amongst all employees</w:t>
            </w:r>
          </w:p>
        </w:tc>
        <w:tc>
          <w:tcPr>
            <w:tcW w:w="6521" w:type="dxa"/>
            <w:tcBorders>
              <w:top w:val="single" w:sz="4" w:space="0" w:color="auto"/>
              <w:bottom w:val="single" w:sz="4" w:space="0" w:color="auto"/>
            </w:tcBorders>
          </w:tcPr>
          <w:p w14:paraId="74044772" w14:textId="77777777" w:rsidR="00E96491" w:rsidRPr="00DF61E6" w:rsidRDefault="00E96491" w:rsidP="000403C1">
            <w:pPr>
              <w:rPr>
                <w:rFonts w:ascii="Arial" w:hAnsi="Arial"/>
                <w:bCs/>
                <w:sz w:val="20"/>
                <w:szCs w:val="20"/>
                <w:lang w:eastAsia="en-AU"/>
              </w:rPr>
            </w:pPr>
            <w:r w:rsidRPr="00DF61E6">
              <w:rPr>
                <w:rFonts w:ascii="Arial" w:hAnsi="Arial"/>
                <w:bCs/>
                <w:sz w:val="20"/>
                <w:szCs w:val="20"/>
                <w:lang w:eastAsia="en-AU"/>
              </w:rPr>
              <w:t>90% positive responses to relevant workplace conditions questions in 2021 APS Employee Census.</w:t>
            </w:r>
          </w:p>
          <w:p w14:paraId="6335C74A" w14:textId="77777777" w:rsidR="00E96491" w:rsidRPr="00DF61E6" w:rsidRDefault="00E96491" w:rsidP="000403C1">
            <w:pPr>
              <w:rPr>
                <w:rFonts w:ascii="Arial" w:hAnsi="Arial"/>
                <w:bCs/>
                <w:sz w:val="20"/>
                <w:szCs w:val="20"/>
                <w:lang w:eastAsia="en-AU"/>
              </w:rPr>
            </w:pPr>
            <w:r w:rsidRPr="00DF61E6">
              <w:rPr>
                <w:rFonts w:ascii="Arial" w:hAnsi="Arial"/>
                <w:bCs/>
                <w:sz w:val="20"/>
                <w:szCs w:val="20"/>
                <w:lang w:eastAsia="en-AU"/>
              </w:rPr>
              <w:t>An increase of 10% of staff regularly accessing flexible work arrangements, with a significant increase in usage by men by 31 December 2021.</w:t>
            </w:r>
          </w:p>
        </w:tc>
      </w:tr>
      <w:tr w:rsidR="00E96491" w:rsidRPr="00DF61E6" w14:paraId="0031706D" w14:textId="77777777" w:rsidTr="00DE51CF">
        <w:trPr>
          <w:trHeight w:val="1271"/>
          <w:jc w:val="center"/>
        </w:trPr>
        <w:tc>
          <w:tcPr>
            <w:tcW w:w="5807" w:type="dxa"/>
            <w:tcBorders>
              <w:top w:val="single" w:sz="4" w:space="0" w:color="auto"/>
              <w:bottom w:val="single" w:sz="4" w:space="0" w:color="auto"/>
            </w:tcBorders>
          </w:tcPr>
          <w:p w14:paraId="14E39FC2" w14:textId="77777777" w:rsidR="00E96491" w:rsidRPr="00DF61E6" w:rsidRDefault="00E96491" w:rsidP="00E96491">
            <w:pPr>
              <w:numPr>
                <w:ilvl w:val="0"/>
                <w:numId w:val="8"/>
              </w:numPr>
              <w:spacing w:after="0" w:line="240" w:lineRule="auto"/>
              <w:ind w:left="306" w:hanging="284"/>
              <w:contextualSpacing/>
              <w:rPr>
                <w:rFonts w:ascii="Arial" w:hAnsi="Arial"/>
                <w:bCs/>
                <w:sz w:val="20"/>
                <w:szCs w:val="20"/>
                <w:lang w:eastAsia="en-AU"/>
              </w:rPr>
            </w:pPr>
            <w:r w:rsidRPr="00DF61E6">
              <w:rPr>
                <w:rFonts w:ascii="Arial" w:hAnsi="Arial"/>
                <w:bCs/>
                <w:sz w:val="20"/>
                <w:szCs w:val="20"/>
                <w:lang w:eastAsia="en-AU"/>
              </w:rPr>
              <w:t>Incorporate measurement and evaluation of our progress into current reporting and communicate progress to the agency annually</w:t>
            </w:r>
          </w:p>
        </w:tc>
        <w:tc>
          <w:tcPr>
            <w:tcW w:w="6521" w:type="dxa"/>
            <w:tcBorders>
              <w:top w:val="single" w:sz="4" w:space="0" w:color="auto"/>
              <w:bottom w:val="single" w:sz="4" w:space="0" w:color="auto"/>
            </w:tcBorders>
          </w:tcPr>
          <w:p w14:paraId="7B74940A" w14:textId="77777777" w:rsidR="00E96491" w:rsidRPr="00DF61E6" w:rsidRDefault="00E96491" w:rsidP="000403C1">
            <w:pPr>
              <w:rPr>
                <w:rFonts w:ascii="Arial" w:hAnsi="Arial"/>
                <w:bCs/>
                <w:sz w:val="20"/>
                <w:szCs w:val="20"/>
                <w:lang w:eastAsia="en-AU"/>
              </w:rPr>
            </w:pPr>
            <w:r w:rsidRPr="00DF61E6">
              <w:rPr>
                <w:rFonts w:ascii="Arial" w:hAnsi="Arial"/>
                <w:bCs/>
                <w:sz w:val="20"/>
                <w:szCs w:val="20"/>
                <w:lang w:eastAsia="en-AU"/>
              </w:rPr>
              <w:t>Reporting captures progress against Gender Equality Action Plan from January 2019.</w:t>
            </w:r>
          </w:p>
          <w:p w14:paraId="4260372C" w14:textId="77777777" w:rsidR="00E96491" w:rsidRPr="00DF61E6" w:rsidRDefault="00E96491" w:rsidP="000403C1">
            <w:pPr>
              <w:rPr>
                <w:rFonts w:ascii="Arial" w:hAnsi="Arial"/>
                <w:bCs/>
                <w:sz w:val="20"/>
                <w:szCs w:val="20"/>
                <w:lang w:eastAsia="en-AU"/>
              </w:rPr>
            </w:pPr>
            <w:r w:rsidRPr="00DF61E6">
              <w:rPr>
                <w:rFonts w:ascii="Arial" w:hAnsi="Arial"/>
                <w:bCs/>
                <w:sz w:val="20"/>
                <w:szCs w:val="20"/>
                <w:lang w:eastAsia="en-AU"/>
              </w:rPr>
              <w:t>Reporting mechanisms for flexible work arrangements, recruitment and gender are enhanced and embedded by 31 December 2019.</w:t>
            </w:r>
          </w:p>
        </w:tc>
      </w:tr>
    </w:tbl>
    <w:p w14:paraId="37A6CAF9" w14:textId="3F8507B7" w:rsidR="00E96491" w:rsidRPr="000946A5" w:rsidRDefault="00E96491" w:rsidP="00E96491">
      <w:r w:rsidRPr="006A4B6A">
        <w:rPr>
          <w:rFonts w:eastAsiaTheme="majorEastAsia" w:cs="Helvetica"/>
          <w:b/>
          <w:bCs/>
          <w:color w:val="0094A8"/>
          <w:sz w:val="36"/>
          <w:szCs w:val="36"/>
        </w:rPr>
        <w:lastRenderedPageBreak/>
        <w:t>Our action plan</w:t>
      </w:r>
    </w:p>
    <w:p w14:paraId="14C58CD3" w14:textId="77777777" w:rsidR="00E96491" w:rsidRPr="006A4B6A" w:rsidRDefault="00E96491" w:rsidP="00E96491">
      <w:pPr>
        <w:pStyle w:val="Heading3"/>
      </w:pPr>
      <w:r w:rsidRPr="006A4B6A">
        <w:t>Drive a culture where gender equality is valued and considered in planning and decision making</w:t>
      </w:r>
    </w:p>
    <w:p w14:paraId="2A24B5C8" w14:textId="21F8B9F1" w:rsidR="00E96491" w:rsidRPr="009A1C4A" w:rsidRDefault="00E96491" w:rsidP="009A1C4A">
      <w:pPr>
        <w:pStyle w:val="Heading4"/>
      </w:pPr>
      <w:r w:rsidRPr="008F5B2C">
        <w:t xml:space="preserve">We will achieve 90% positive responses to relevant workplace culture questions in </w:t>
      </w:r>
      <w:r>
        <w:t xml:space="preserve">the </w:t>
      </w:r>
      <w:r w:rsidRPr="008F5B2C">
        <w:t>202</w:t>
      </w:r>
      <w:r>
        <w:t>1</w:t>
      </w:r>
      <w:r w:rsidRPr="008F5B2C">
        <w:t xml:space="preserve"> APS Employee Census.</w:t>
      </w:r>
    </w:p>
    <w:tbl>
      <w:tblPr>
        <w:tblStyle w:val="TableGrid"/>
        <w:tblW w:w="9639" w:type="dxa"/>
        <w:tblLook w:val="04A0" w:firstRow="1" w:lastRow="0" w:firstColumn="1" w:lastColumn="0" w:noHBand="0" w:noVBand="1"/>
        <w:tblCaption w:val="Relationships Action Table"/>
        <w:tblDescription w:val="Relationships Action Table"/>
      </w:tblPr>
      <w:tblGrid>
        <w:gridCol w:w="2523"/>
        <w:gridCol w:w="3527"/>
        <w:gridCol w:w="1552"/>
        <w:gridCol w:w="2037"/>
      </w:tblGrid>
      <w:tr w:rsidR="00E96491" w:rsidRPr="008F5B2C" w14:paraId="63DDDE1A" w14:textId="77777777" w:rsidTr="00DE51CF">
        <w:trPr>
          <w:cantSplit/>
          <w:tblHeader/>
        </w:trPr>
        <w:tc>
          <w:tcPr>
            <w:tcW w:w="3112" w:type="dxa"/>
            <w:shd w:val="clear" w:color="auto" w:fill="auto"/>
            <w:hideMark/>
          </w:tcPr>
          <w:p w14:paraId="5D5E8A81" w14:textId="77777777" w:rsidR="00E96491" w:rsidRPr="006A4B6A" w:rsidRDefault="00E96491" w:rsidP="000403C1">
            <w:pPr>
              <w:pStyle w:val="TableParagraph"/>
              <w:rPr>
                <w:rFonts w:ascii="Arial" w:hAnsi="Arial" w:cs="Arial"/>
                <w:b/>
                <w:color w:val="000000" w:themeColor="text1"/>
              </w:rPr>
            </w:pPr>
            <w:r w:rsidRPr="006A4B6A">
              <w:rPr>
                <w:rFonts w:ascii="Arial" w:hAnsi="Arial" w:cs="Arial"/>
                <w:b/>
                <w:color w:val="000000" w:themeColor="text1"/>
              </w:rPr>
              <w:t>Action</w:t>
            </w:r>
          </w:p>
        </w:tc>
        <w:tc>
          <w:tcPr>
            <w:tcW w:w="6352" w:type="dxa"/>
            <w:shd w:val="clear" w:color="auto" w:fill="auto"/>
            <w:hideMark/>
          </w:tcPr>
          <w:p w14:paraId="0EF45055" w14:textId="77777777" w:rsidR="00E96491" w:rsidRPr="006A4B6A" w:rsidRDefault="00E96491" w:rsidP="000403C1">
            <w:pPr>
              <w:pStyle w:val="TableParagraph"/>
              <w:rPr>
                <w:rFonts w:ascii="Arial" w:hAnsi="Arial" w:cs="Arial"/>
                <w:b/>
                <w:color w:val="000000" w:themeColor="text1"/>
              </w:rPr>
            </w:pPr>
            <w:r w:rsidRPr="006A4B6A">
              <w:rPr>
                <w:rFonts w:ascii="Arial" w:hAnsi="Arial" w:cs="Arial"/>
                <w:b/>
                <w:color w:val="000000" w:themeColor="text1"/>
              </w:rPr>
              <w:t>Deliverables</w:t>
            </w:r>
          </w:p>
        </w:tc>
        <w:tc>
          <w:tcPr>
            <w:tcW w:w="2268" w:type="dxa"/>
            <w:shd w:val="clear" w:color="auto" w:fill="auto"/>
          </w:tcPr>
          <w:p w14:paraId="4DBA7BB5" w14:textId="77777777" w:rsidR="00E96491" w:rsidRPr="006A4B6A" w:rsidRDefault="00E96491" w:rsidP="000403C1">
            <w:pPr>
              <w:pStyle w:val="TableParagraph"/>
              <w:rPr>
                <w:rFonts w:ascii="Arial" w:hAnsi="Arial" w:cs="Arial"/>
                <w:b/>
                <w:color w:val="000000" w:themeColor="text1"/>
              </w:rPr>
            </w:pPr>
            <w:r w:rsidRPr="006A4B6A">
              <w:rPr>
                <w:rFonts w:ascii="Arial" w:hAnsi="Arial" w:cs="Arial"/>
                <w:b/>
                <w:color w:val="000000" w:themeColor="text1"/>
              </w:rPr>
              <w:t>Timeline</w:t>
            </w:r>
          </w:p>
        </w:tc>
        <w:tc>
          <w:tcPr>
            <w:tcW w:w="2443" w:type="dxa"/>
            <w:shd w:val="clear" w:color="auto" w:fill="auto"/>
          </w:tcPr>
          <w:p w14:paraId="0628BCC1" w14:textId="77777777" w:rsidR="00E96491" w:rsidRPr="006A4B6A" w:rsidRDefault="00E96491" w:rsidP="000403C1">
            <w:pPr>
              <w:pStyle w:val="TableParagraph"/>
              <w:rPr>
                <w:rFonts w:ascii="Arial" w:hAnsi="Arial" w:cs="Arial"/>
                <w:b/>
                <w:color w:val="000000" w:themeColor="text1"/>
              </w:rPr>
            </w:pPr>
            <w:r w:rsidRPr="006A4B6A">
              <w:rPr>
                <w:rFonts w:ascii="Arial" w:hAnsi="Arial" w:cs="Arial"/>
                <w:b/>
                <w:color w:val="000000" w:themeColor="text1"/>
              </w:rPr>
              <w:t xml:space="preserve">Responsibility </w:t>
            </w:r>
          </w:p>
        </w:tc>
      </w:tr>
      <w:tr w:rsidR="00E96491" w:rsidRPr="008F5B2C" w14:paraId="6AC59E30" w14:textId="77777777" w:rsidTr="00DE51CF">
        <w:trPr>
          <w:cantSplit/>
          <w:trHeight w:val="1050"/>
        </w:trPr>
        <w:tc>
          <w:tcPr>
            <w:tcW w:w="3112" w:type="dxa"/>
            <w:vMerge w:val="restart"/>
            <w:hideMark/>
          </w:tcPr>
          <w:p w14:paraId="519E68CE" w14:textId="77777777" w:rsidR="00E96491" w:rsidRPr="008F5B2C" w:rsidRDefault="00E96491" w:rsidP="00E96491">
            <w:pPr>
              <w:pStyle w:val="TableParagraph"/>
              <w:numPr>
                <w:ilvl w:val="0"/>
                <w:numId w:val="9"/>
              </w:numPr>
              <w:ind w:left="454" w:hanging="425"/>
              <w:rPr>
                <w:rFonts w:ascii="Arial" w:hAnsi="Arial" w:cs="Arial"/>
                <w:sz w:val="22"/>
              </w:rPr>
            </w:pPr>
            <w:r w:rsidRPr="008F5B2C">
              <w:rPr>
                <w:rFonts w:ascii="Arial" w:hAnsi="Arial" w:cs="Arial"/>
                <w:sz w:val="22"/>
              </w:rPr>
              <w:t>Integrate a focus on gender equality into agency planning, strategy and governance.</w:t>
            </w:r>
          </w:p>
          <w:p w14:paraId="45278D1D" w14:textId="77777777" w:rsidR="00E96491" w:rsidRPr="008F5B2C" w:rsidRDefault="00E96491" w:rsidP="000403C1">
            <w:pPr>
              <w:autoSpaceDE w:val="0"/>
              <w:autoSpaceDN w:val="0"/>
              <w:adjustRightInd w:val="0"/>
              <w:ind w:left="454" w:hanging="425"/>
              <w:rPr>
                <w:rFonts w:ascii="Arial" w:eastAsia="Myriad Pro" w:hAnsi="Arial"/>
                <w:lang w:val="en-US"/>
              </w:rPr>
            </w:pPr>
          </w:p>
        </w:tc>
        <w:tc>
          <w:tcPr>
            <w:tcW w:w="6352" w:type="dxa"/>
            <w:hideMark/>
          </w:tcPr>
          <w:p w14:paraId="195D690E" w14:textId="77777777" w:rsidR="00E96491" w:rsidRPr="008F5B2C" w:rsidRDefault="00E96491" w:rsidP="00E96491">
            <w:pPr>
              <w:pStyle w:val="TableParagraph"/>
              <w:numPr>
                <w:ilvl w:val="0"/>
                <w:numId w:val="10"/>
              </w:numPr>
              <w:ind w:left="456" w:hanging="425"/>
              <w:rPr>
                <w:rFonts w:ascii="Arial" w:hAnsi="Arial" w:cs="Arial"/>
                <w:sz w:val="22"/>
              </w:rPr>
            </w:pPr>
            <w:r w:rsidRPr="008F5B2C">
              <w:rPr>
                <w:rFonts w:ascii="Arial" w:hAnsi="Arial" w:cs="Arial"/>
                <w:sz w:val="22"/>
              </w:rPr>
              <w:t xml:space="preserve">SES focus on gender equality in organisational planning. </w:t>
            </w:r>
          </w:p>
        </w:tc>
        <w:tc>
          <w:tcPr>
            <w:tcW w:w="2268" w:type="dxa"/>
          </w:tcPr>
          <w:p w14:paraId="2F93F78F" w14:textId="77777777" w:rsidR="00E96491" w:rsidRPr="008F5B2C" w:rsidRDefault="00E96491" w:rsidP="000403C1">
            <w:pPr>
              <w:pStyle w:val="TableParagraph"/>
              <w:rPr>
                <w:rFonts w:ascii="Arial" w:hAnsi="Arial" w:cs="Arial"/>
                <w:sz w:val="22"/>
              </w:rPr>
            </w:pPr>
            <w:r w:rsidRPr="008F5B2C">
              <w:rPr>
                <w:rFonts w:ascii="Arial" w:hAnsi="Arial" w:cs="Arial"/>
                <w:sz w:val="22"/>
              </w:rPr>
              <w:t>Ongoing</w:t>
            </w:r>
          </w:p>
        </w:tc>
        <w:tc>
          <w:tcPr>
            <w:tcW w:w="2443" w:type="dxa"/>
          </w:tcPr>
          <w:p w14:paraId="5A8CE8A3" w14:textId="77777777" w:rsidR="00E96491" w:rsidRPr="008F5B2C" w:rsidRDefault="00E96491" w:rsidP="000403C1">
            <w:pPr>
              <w:pStyle w:val="TableParagraph"/>
              <w:rPr>
                <w:rFonts w:ascii="Arial" w:hAnsi="Arial" w:cs="Arial"/>
                <w:sz w:val="22"/>
              </w:rPr>
            </w:pPr>
            <w:r w:rsidRPr="008F5B2C">
              <w:rPr>
                <w:rFonts w:ascii="Arial" w:hAnsi="Arial" w:cs="Arial"/>
                <w:sz w:val="22"/>
              </w:rPr>
              <w:t xml:space="preserve">All SES as part of Executive Committee, and  </w:t>
            </w:r>
            <w:r w:rsidRPr="008F5B2C">
              <w:rPr>
                <w:rFonts w:ascii="Arial" w:hAnsi="Arial" w:cs="Arial"/>
                <w:sz w:val="22"/>
              </w:rPr>
              <w:br/>
              <w:t>Fair Work Ombudsman and Deputy Fair Work Ombudsman Forum</w:t>
            </w:r>
          </w:p>
        </w:tc>
      </w:tr>
      <w:tr w:rsidR="00E96491" w:rsidRPr="008F5B2C" w14:paraId="35847824" w14:textId="77777777" w:rsidTr="00DE51CF">
        <w:trPr>
          <w:cantSplit/>
          <w:trHeight w:val="946"/>
        </w:trPr>
        <w:tc>
          <w:tcPr>
            <w:tcW w:w="3112" w:type="dxa"/>
            <w:vMerge/>
          </w:tcPr>
          <w:p w14:paraId="3A5283A2" w14:textId="77777777" w:rsidR="00E96491" w:rsidRPr="008F5B2C" w:rsidRDefault="00E96491" w:rsidP="00E96491">
            <w:pPr>
              <w:pStyle w:val="TableParagraph"/>
              <w:numPr>
                <w:ilvl w:val="0"/>
                <w:numId w:val="9"/>
              </w:numPr>
              <w:ind w:left="454" w:hanging="425"/>
              <w:rPr>
                <w:rFonts w:ascii="Arial" w:hAnsi="Arial" w:cs="Arial"/>
                <w:sz w:val="22"/>
              </w:rPr>
            </w:pPr>
          </w:p>
        </w:tc>
        <w:tc>
          <w:tcPr>
            <w:tcW w:w="6352" w:type="dxa"/>
          </w:tcPr>
          <w:p w14:paraId="0A90C2C9" w14:textId="77777777" w:rsidR="00E96491" w:rsidRPr="008F5B2C" w:rsidRDefault="00E96491" w:rsidP="00E96491">
            <w:pPr>
              <w:pStyle w:val="TableParagraph"/>
              <w:numPr>
                <w:ilvl w:val="0"/>
                <w:numId w:val="10"/>
              </w:numPr>
              <w:ind w:left="456" w:hanging="425"/>
              <w:rPr>
                <w:rFonts w:ascii="Arial" w:hAnsi="Arial" w:cs="Arial"/>
                <w:sz w:val="22"/>
              </w:rPr>
            </w:pPr>
            <w:r w:rsidRPr="008F5B2C">
              <w:rPr>
                <w:rFonts w:ascii="Arial" w:hAnsi="Arial" w:cs="Arial"/>
                <w:sz w:val="22"/>
              </w:rPr>
              <w:t>Gender equality is identified as a consideration in strategy and governance documents, including the Fair Work Ombudsman Strategic Intent.</w:t>
            </w:r>
          </w:p>
        </w:tc>
        <w:tc>
          <w:tcPr>
            <w:tcW w:w="2268" w:type="dxa"/>
          </w:tcPr>
          <w:p w14:paraId="6E8D3FD4" w14:textId="77777777" w:rsidR="00E96491" w:rsidRPr="008F5B2C" w:rsidRDefault="00E96491" w:rsidP="000403C1">
            <w:pPr>
              <w:pStyle w:val="TableParagraph"/>
              <w:rPr>
                <w:rFonts w:ascii="Arial" w:hAnsi="Arial" w:cs="Arial"/>
                <w:sz w:val="22"/>
              </w:rPr>
            </w:pPr>
            <w:r w:rsidRPr="008F5B2C">
              <w:rPr>
                <w:rFonts w:ascii="Arial" w:hAnsi="Arial" w:cs="Arial"/>
                <w:sz w:val="22"/>
              </w:rPr>
              <w:t>By December 2018</w:t>
            </w:r>
          </w:p>
        </w:tc>
        <w:tc>
          <w:tcPr>
            <w:tcW w:w="2443" w:type="dxa"/>
          </w:tcPr>
          <w:p w14:paraId="3BD6ABAA" w14:textId="77777777" w:rsidR="00E96491" w:rsidRPr="00473C10" w:rsidRDefault="00E96491" w:rsidP="000403C1">
            <w:pPr>
              <w:pStyle w:val="TableParagraph"/>
              <w:rPr>
                <w:rFonts w:ascii="Arial" w:hAnsi="Arial" w:cs="Arial"/>
                <w:sz w:val="22"/>
              </w:rPr>
            </w:pPr>
            <w:r w:rsidRPr="008F5B2C">
              <w:rPr>
                <w:rFonts w:ascii="Arial" w:hAnsi="Arial" w:cs="Arial"/>
                <w:sz w:val="22"/>
              </w:rPr>
              <w:t xml:space="preserve">All SES as part of Executive Committee, and  </w:t>
            </w:r>
            <w:r w:rsidRPr="008F5B2C">
              <w:rPr>
                <w:rFonts w:ascii="Arial" w:hAnsi="Arial" w:cs="Arial"/>
                <w:sz w:val="22"/>
              </w:rPr>
              <w:br/>
              <w:t>Fair Work Ombudsman and Deputy Fair Work Ombudsman Forum</w:t>
            </w:r>
          </w:p>
        </w:tc>
      </w:tr>
      <w:tr w:rsidR="00E96491" w:rsidRPr="008F5B2C" w14:paraId="57AFCB57" w14:textId="77777777" w:rsidTr="00DE51CF">
        <w:trPr>
          <w:cantSplit/>
          <w:trHeight w:val="1159"/>
        </w:trPr>
        <w:tc>
          <w:tcPr>
            <w:tcW w:w="3112" w:type="dxa"/>
            <w:vMerge w:val="restart"/>
            <w:hideMark/>
          </w:tcPr>
          <w:p w14:paraId="3601DFAF" w14:textId="77777777" w:rsidR="00E96491" w:rsidRPr="008F5B2C" w:rsidRDefault="00E96491" w:rsidP="00E96491">
            <w:pPr>
              <w:pStyle w:val="TableParagraph"/>
              <w:numPr>
                <w:ilvl w:val="0"/>
                <w:numId w:val="9"/>
              </w:numPr>
              <w:ind w:left="454" w:hanging="425"/>
              <w:rPr>
                <w:rFonts w:ascii="Arial" w:hAnsi="Arial" w:cs="Arial"/>
                <w:sz w:val="22"/>
              </w:rPr>
            </w:pPr>
            <w:r w:rsidRPr="008F5B2C">
              <w:rPr>
                <w:rFonts w:ascii="Arial" w:hAnsi="Arial" w:cs="Arial"/>
                <w:sz w:val="22"/>
              </w:rPr>
              <w:t>EL and SES to shape all communications to show support, clearly and publicly, for an inclusive workplace.</w:t>
            </w:r>
          </w:p>
        </w:tc>
        <w:tc>
          <w:tcPr>
            <w:tcW w:w="6352" w:type="dxa"/>
            <w:hideMark/>
          </w:tcPr>
          <w:p w14:paraId="00EF17EA" w14:textId="77777777" w:rsidR="00E96491" w:rsidRPr="008F5B2C" w:rsidRDefault="00E96491" w:rsidP="00E96491">
            <w:pPr>
              <w:pStyle w:val="TableParagraph"/>
              <w:numPr>
                <w:ilvl w:val="0"/>
                <w:numId w:val="11"/>
              </w:numPr>
              <w:ind w:left="456" w:hanging="425"/>
              <w:rPr>
                <w:rFonts w:ascii="Arial" w:hAnsi="Arial" w:cs="Arial"/>
                <w:sz w:val="22"/>
              </w:rPr>
            </w:pPr>
            <w:r w:rsidRPr="008F5B2C">
              <w:rPr>
                <w:rFonts w:ascii="Arial" w:hAnsi="Arial" w:cs="Arial"/>
                <w:sz w:val="22"/>
              </w:rPr>
              <w:t xml:space="preserve">EL and SES employees show support for gender equality in their communications with staff and in external forums. </w:t>
            </w:r>
          </w:p>
        </w:tc>
        <w:tc>
          <w:tcPr>
            <w:tcW w:w="2268" w:type="dxa"/>
            <w:vMerge w:val="restart"/>
          </w:tcPr>
          <w:p w14:paraId="6F752F97" w14:textId="77777777" w:rsidR="00E96491" w:rsidRPr="008F5B2C" w:rsidRDefault="00E96491" w:rsidP="000403C1">
            <w:pPr>
              <w:pStyle w:val="TableParagraph"/>
              <w:rPr>
                <w:rFonts w:ascii="Arial" w:hAnsi="Arial" w:cs="Arial"/>
                <w:sz w:val="22"/>
              </w:rPr>
            </w:pPr>
            <w:r w:rsidRPr="008F5B2C">
              <w:rPr>
                <w:rFonts w:ascii="Arial" w:hAnsi="Arial" w:cs="Arial"/>
                <w:sz w:val="22"/>
              </w:rPr>
              <w:t>Ongoing</w:t>
            </w:r>
          </w:p>
        </w:tc>
        <w:tc>
          <w:tcPr>
            <w:tcW w:w="2443" w:type="dxa"/>
            <w:vMerge w:val="restart"/>
          </w:tcPr>
          <w:p w14:paraId="7DAFADE9" w14:textId="77777777" w:rsidR="00E96491" w:rsidRPr="00473C10" w:rsidRDefault="00E96491" w:rsidP="000403C1">
            <w:pPr>
              <w:pStyle w:val="TableParagraph"/>
              <w:rPr>
                <w:rFonts w:ascii="Arial" w:hAnsi="Arial" w:cs="Arial"/>
                <w:sz w:val="22"/>
              </w:rPr>
            </w:pPr>
            <w:r w:rsidRPr="008F5B2C">
              <w:rPr>
                <w:rFonts w:ascii="Arial" w:hAnsi="Arial" w:cs="Arial"/>
                <w:sz w:val="22"/>
              </w:rPr>
              <w:t xml:space="preserve">All EL and SES, supported by the Fair Work Ombudsman Gender Equality Network Sponsor, Executive Director, People Branch and Executive Director, Communications </w:t>
            </w:r>
          </w:p>
        </w:tc>
      </w:tr>
      <w:tr w:rsidR="00E96491" w:rsidRPr="008F5B2C" w14:paraId="23F89AEA" w14:textId="77777777" w:rsidTr="00DE51CF">
        <w:trPr>
          <w:cantSplit/>
          <w:trHeight w:val="1158"/>
        </w:trPr>
        <w:tc>
          <w:tcPr>
            <w:tcW w:w="3112" w:type="dxa"/>
            <w:vMerge/>
          </w:tcPr>
          <w:p w14:paraId="0E18A0A6" w14:textId="77777777" w:rsidR="00E96491" w:rsidRPr="008F5B2C" w:rsidRDefault="00E96491" w:rsidP="00E96491">
            <w:pPr>
              <w:pStyle w:val="TableParagraph"/>
              <w:numPr>
                <w:ilvl w:val="0"/>
                <w:numId w:val="9"/>
              </w:numPr>
              <w:ind w:left="454" w:hanging="425"/>
              <w:rPr>
                <w:rFonts w:ascii="Arial" w:hAnsi="Arial" w:cs="Arial"/>
                <w:sz w:val="22"/>
              </w:rPr>
            </w:pPr>
          </w:p>
        </w:tc>
        <w:tc>
          <w:tcPr>
            <w:tcW w:w="6352" w:type="dxa"/>
          </w:tcPr>
          <w:p w14:paraId="61D7C430" w14:textId="77777777" w:rsidR="00E96491" w:rsidRPr="008F5B2C" w:rsidRDefault="00E96491" w:rsidP="00E96491">
            <w:pPr>
              <w:pStyle w:val="TableParagraph"/>
              <w:numPr>
                <w:ilvl w:val="0"/>
                <w:numId w:val="11"/>
              </w:numPr>
              <w:ind w:left="456" w:hanging="425"/>
              <w:rPr>
                <w:rFonts w:ascii="Arial" w:hAnsi="Arial" w:cs="Arial"/>
                <w:sz w:val="22"/>
              </w:rPr>
            </w:pPr>
            <w:r>
              <w:rPr>
                <w:rFonts w:ascii="Arial" w:hAnsi="Arial" w:cs="Arial"/>
                <w:sz w:val="22"/>
              </w:rPr>
              <w:t>C</w:t>
            </w:r>
            <w:r w:rsidRPr="008F5B2C">
              <w:rPr>
                <w:rFonts w:ascii="Arial" w:hAnsi="Arial" w:cs="Arial"/>
                <w:sz w:val="22"/>
              </w:rPr>
              <w:t xml:space="preserve">ase studies of senior staff achieving work-life balance, managing workloads and utilising flexible work arrangements </w:t>
            </w:r>
            <w:r>
              <w:rPr>
                <w:rFonts w:ascii="Arial" w:hAnsi="Arial" w:cs="Arial"/>
                <w:sz w:val="22"/>
              </w:rPr>
              <w:t xml:space="preserve">are incorporated </w:t>
            </w:r>
            <w:r w:rsidRPr="008F5B2C">
              <w:rPr>
                <w:rFonts w:ascii="Arial" w:hAnsi="Arial" w:cs="Arial"/>
                <w:sz w:val="22"/>
              </w:rPr>
              <w:t>into existing regular intranet articles</w:t>
            </w:r>
            <w:r>
              <w:rPr>
                <w:rFonts w:ascii="Arial" w:hAnsi="Arial" w:cs="Arial"/>
                <w:sz w:val="22"/>
              </w:rPr>
              <w:t>.</w:t>
            </w:r>
          </w:p>
        </w:tc>
        <w:tc>
          <w:tcPr>
            <w:tcW w:w="2268" w:type="dxa"/>
            <w:vMerge/>
          </w:tcPr>
          <w:p w14:paraId="2D8E5502" w14:textId="77777777" w:rsidR="00E96491" w:rsidRPr="008F5B2C" w:rsidRDefault="00E96491" w:rsidP="000403C1">
            <w:pPr>
              <w:pStyle w:val="TableParagraph"/>
              <w:rPr>
                <w:rFonts w:ascii="Arial" w:hAnsi="Arial" w:cs="Arial"/>
                <w:sz w:val="22"/>
              </w:rPr>
            </w:pPr>
          </w:p>
        </w:tc>
        <w:tc>
          <w:tcPr>
            <w:tcW w:w="2443" w:type="dxa"/>
            <w:vMerge/>
          </w:tcPr>
          <w:p w14:paraId="485FF2F6" w14:textId="77777777" w:rsidR="00E96491" w:rsidRPr="008F5B2C" w:rsidRDefault="00E96491" w:rsidP="000403C1">
            <w:pPr>
              <w:pStyle w:val="TableParagraph"/>
              <w:rPr>
                <w:rFonts w:ascii="Arial" w:hAnsi="Arial" w:cs="Arial"/>
                <w:sz w:val="22"/>
              </w:rPr>
            </w:pPr>
          </w:p>
        </w:tc>
      </w:tr>
      <w:tr w:rsidR="00E96491" w:rsidRPr="008F5B2C" w14:paraId="06642AEF" w14:textId="77777777" w:rsidTr="00DE51CF">
        <w:trPr>
          <w:cantSplit/>
          <w:trHeight w:val="937"/>
        </w:trPr>
        <w:tc>
          <w:tcPr>
            <w:tcW w:w="3112" w:type="dxa"/>
            <w:vMerge w:val="restart"/>
            <w:hideMark/>
          </w:tcPr>
          <w:p w14:paraId="135BCACB" w14:textId="77777777" w:rsidR="00E96491" w:rsidRPr="008F5B2C" w:rsidRDefault="00E96491" w:rsidP="00E96491">
            <w:pPr>
              <w:pStyle w:val="TableParagraph"/>
              <w:numPr>
                <w:ilvl w:val="0"/>
                <w:numId w:val="9"/>
              </w:numPr>
              <w:ind w:left="454" w:hanging="425"/>
              <w:rPr>
                <w:rFonts w:ascii="Arial" w:hAnsi="Arial" w:cs="Arial"/>
                <w:sz w:val="22"/>
              </w:rPr>
            </w:pPr>
            <w:r w:rsidRPr="008F5B2C">
              <w:rPr>
                <w:rFonts w:ascii="Arial" w:hAnsi="Arial" w:cs="Arial"/>
                <w:sz w:val="22"/>
              </w:rPr>
              <w:t xml:space="preserve">Maintain the focus on domestic and family violence, recognising that it is a workplace </w:t>
            </w:r>
            <w:r w:rsidRPr="008F5B2C">
              <w:rPr>
                <w:rFonts w:ascii="Arial" w:hAnsi="Arial" w:cs="Arial"/>
                <w:sz w:val="22"/>
              </w:rPr>
              <w:lastRenderedPageBreak/>
              <w:t>issue.</w:t>
            </w:r>
          </w:p>
        </w:tc>
        <w:tc>
          <w:tcPr>
            <w:tcW w:w="6352" w:type="dxa"/>
            <w:hideMark/>
          </w:tcPr>
          <w:p w14:paraId="437F81AC" w14:textId="77777777" w:rsidR="00E96491" w:rsidRPr="008F5B2C" w:rsidRDefault="00E96491" w:rsidP="00E96491">
            <w:pPr>
              <w:pStyle w:val="TableParagraph"/>
              <w:numPr>
                <w:ilvl w:val="0"/>
                <w:numId w:val="12"/>
              </w:numPr>
              <w:ind w:left="456" w:hanging="425"/>
              <w:rPr>
                <w:rFonts w:ascii="Arial" w:hAnsi="Arial" w:cs="Arial"/>
                <w:sz w:val="22"/>
              </w:rPr>
            </w:pPr>
            <w:r w:rsidRPr="008F5B2C">
              <w:rPr>
                <w:rFonts w:ascii="Arial" w:hAnsi="Arial" w:cs="Arial"/>
                <w:sz w:val="22"/>
              </w:rPr>
              <w:lastRenderedPageBreak/>
              <w:t>Our domestic and family violence policy is reviewed at least once per year to ensure impacted staff are able to access support.</w:t>
            </w:r>
          </w:p>
        </w:tc>
        <w:tc>
          <w:tcPr>
            <w:tcW w:w="2268" w:type="dxa"/>
          </w:tcPr>
          <w:p w14:paraId="0D9E789B" w14:textId="77777777" w:rsidR="00E96491" w:rsidRPr="008F5B2C" w:rsidRDefault="00E96491" w:rsidP="000403C1">
            <w:pPr>
              <w:pStyle w:val="TableParagraph"/>
              <w:rPr>
                <w:rFonts w:ascii="Arial" w:hAnsi="Arial" w:cs="Arial"/>
                <w:sz w:val="22"/>
              </w:rPr>
            </w:pPr>
            <w:r>
              <w:rPr>
                <w:rFonts w:ascii="Arial" w:hAnsi="Arial" w:cs="Arial"/>
                <w:sz w:val="22"/>
              </w:rPr>
              <w:t>December</w:t>
            </w:r>
            <w:r w:rsidRPr="008F5B2C">
              <w:rPr>
                <w:rFonts w:ascii="Arial" w:hAnsi="Arial" w:cs="Arial"/>
                <w:sz w:val="22"/>
              </w:rPr>
              <w:t xml:space="preserve">  2018,  2019 and 2020</w:t>
            </w:r>
          </w:p>
        </w:tc>
        <w:tc>
          <w:tcPr>
            <w:tcW w:w="2443" w:type="dxa"/>
          </w:tcPr>
          <w:p w14:paraId="138592FA" w14:textId="77777777" w:rsidR="00E96491" w:rsidRPr="008F5B2C" w:rsidRDefault="00E96491" w:rsidP="000403C1">
            <w:pPr>
              <w:pStyle w:val="TableParagraph"/>
              <w:rPr>
                <w:rFonts w:ascii="Arial" w:hAnsi="Arial" w:cs="Arial"/>
                <w:sz w:val="22"/>
              </w:rPr>
            </w:pPr>
            <w:r w:rsidRPr="008F5B2C">
              <w:rPr>
                <w:rFonts w:ascii="Arial" w:hAnsi="Arial" w:cs="Arial"/>
                <w:sz w:val="22"/>
              </w:rPr>
              <w:t xml:space="preserve">Executive Director, People Branch </w:t>
            </w:r>
          </w:p>
        </w:tc>
      </w:tr>
      <w:tr w:rsidR="00E96491" w:rsidRPr="008F5B2C" w14:paraId="5C4463EE" w14:textId="77777777" w:rsidTr="00DE51CF">
        <w:trPr>
          <w:cantSplit/>
          <w:trHeight w:val="690"/>
        </w:trPr>
        <w:tc>
          <w:tcPr>
            <w:tcW w:w="3112" w:type="dxa"/>
            <w:vMerge/>
          </w:tcPr>
          <w:p w14:paraId="4BCFC972" w14:textId="77777777" w:rsidR="00E96491" w:rsidRPr="008F5B2C" w:rsidRDefault="00E96491" w:rsidP="00E96491">
            <w:pPr>
              <w:pStyle w:val="TableParagraph"/>
              <w:numPr>
                <w:ilvl w:val="0"/>
                <w:numId w:val="9"/>
              </w:numPr>
              <w:ind w:left="454" w:hanging="425"/>
              <w:rPr>
                <w:rFonts w:ascii="Arial" w:hAnsi="Arial" w:cs="Arial"/>
                <w:sz w:val="22"/>
              </w:rPr>
            </w:pPr>
          </w:p>
        </w:tc>
        <w:tc>
          <w:tcPr>
            <w:tcW w:w="6352" w:type="dxa"/>
          </w:tcPr>
          <w:p w14:paraId="7D700436" w14:textId="77777777" w:rsidR="00E96491" w:rsidRPr="008F5B2C" w:rsidRDefault="00E96491" w:rsidP="00E96491">
            <w:pPr>
              <w:pStyle w:val="TableParagraph"/>
              <w:numPr>
                <w:ilvl w:val="0"/>
                <w:numId w:val="12"/>
              </w:numPr>
              <w:ind w:left="456" w:hanging="425"/>
              <w:rPr>
                <w:rFonts w:ascii="Arial" w:hAnsi="Arial" w:cs="Arial"/>
                <w:sz w:val="22"/>
              </w:rPr>
            </w:pPr>
            <w:r w:rsidRPr="008F5B2C">
              <w:rPr>
                <w:rFonts w:ascii="Arial" w:hAnsi="Arial" w:cs="Arial"/>
                <w:sz w:val="22"/>
              </w:rPr>
              <w:t>The policy and ways to access support are promoted regularly by managers and via intranet articles.</w:t>
            </w:r>
          </w:p>
        </w:tc>
        <w:tc>
          <w:tcPr>
            <w:tcW w:w="2268" w:type="dxa"/>
          </w:tcPr>
          <w:p w14:paraId="4D5E77BD" w14:textId="77777777" w:rsidR="00E96491" w:rsidRPr="008F5B2C" w:rsidRDefault="00E96491" w:rsidP="000403C1">
            <w:pPr>
              <w:pStyle w:val="TableParagraph"/>
              <w:rPr>
                <w:rFonts w:ascii="Arial" w:hAnsi="Arial" w:cs="Arial"/>
                <w:sz w:val="22"/>
              </w:rPr>
            </w:pPr>
            <w:r w:rsidRPr="008F5B2C">
              <w:rPr>
                <w:rFonts w:ascii="Arial" w:hAnsi="Arial" w:cs="Arial"/>
                <w:sz w:val="22"/>
              </w:rPr>
              <w:t>Ongoing</w:t>
            </w:r>
          </w:p>
        </w:tc>
        <w:tc>
          <w:tcPr>
            <w:tcW w:w="2443" w:type="dxa"/>
          </w:tcPr>
          <w:p w14:paraId="3C246BB2" w14:textId="77777777" w:rsidR="00E96491" w:rsidRPr="008F5B2C" w:rsidRDefault="00E96491" w:rsidP="000403C1">
            <w:pPr>
              <w:pStyle w:val="TableParagraph"/>
              <w:rPr>
                <w:rFonts w:ascii="Arial" w:hAnsi="Arial" w:cs="Arial"/>
                <w:sz w:val="22"/>
              </w:rPr>
            </w:pPr>
            <w:r w:rsidRPr="008F5B2C">
              <w:rPr>
                <w:rFonts w:ascii="Arial" w:hAnsi="Arial" w:cs="Arial"/>
                <w:sz w:val="22"/>
              </w:rPr>
              <w:t>All managers, Executive Director, People Branch, and Executive Director, Communications</w:t>
            </w:r>
          </w:p>
        </w:tc>
      </w:tr>
      <w:tr w:rsidR="00E96491" w:rsidRPr="008F5B2C" w14:paraId="51860C44" w14:textId="77777777" w:rsidTr="00DE51CF">
        <w:trPr>
          <w:cantSplit/>
          <w:trHeight w:val="720"/>
        </w:trPr>
        <w:tc>
          <w:tcPr>
            <w:tcW w:w="3112" w:type="dxa"/>
            <w:vMerge/>
          </w:tcPr>
          <w:p w14:paraId="46BA7A40" w14:textId="77777777" w:rsidR="00E96491" w:rsidRPr="008F5B2C" w:rsidRDefault="00E96491" w:rsidP="00E96491">
            <w:pPr>
              <w:pStyle w:val="TableParagraph"/>
              <w:numPr>
                <w:ilvl w:val="0"/>
                <w:numId w:val="9"/>
              </w:numPr>
              <w:ind w:left="454" w:hanging="425"/>
              <w:rPr>
                <w:rFonts w:ascii="Arial" w:hAnsi="Arial" w:cs="Arial"/>
                <w:sz w:val="22"/>
              </w:rPr>
            </w:pPr>
          </w:p>
        </w:tc>
        <w:tc>
          <w:tcPr>
            <w:tcW w:w="6352" w:type="dxa"/>
          </w:tcPr>
          <w:p w14:paraId="7AF0CC74" w14:textId="77777777" w:rsidR="00E96491" w:rsidRPr="008F5B2C" w:rsidRDefault="00E96491" w:rsidP="00E96491">
            <w:pPr>
              <w:pStyle w:val="TableParagraph"/>
              <w:numPr>
                <w:ilvl w:val="0"/>
                <w:numId w:val="12"/>
              </w:numPr>
              <w:ind w:left="456" w:hanging="425"/>
              <w:rPr>
                <w:rFonts w:ascii="Arial" w:hAnsi="Arial" w:cs="Arial"/>
                <w:sz w:val="22"/>
              </w:rPr>
            </w:pPr>
            <w:r w:rsidRPr="008F5B2C">
              <w:rPr>
                <w:rFonts w:ascii="Arial" w:hAnsi="Arial" w:cs="Arial"/>
                <w:sz w:val="22"/>
              </w:rPr>
              <w:t>All managers complete domestic and family violence training.</w:t>
            </w:r>
          </w:p>
        </w:tc>
        <w:tc>
          <w:tcPr>
            <w:tcW w:w="2268" w:type="dxa"/>
          </w:tcPr>
          <w:p w14:paraId="02E06ADE" w14:textId="77777777" w:rsidR="00E96491" w:rsidRPr="008F5B2C" w:rsidRDefault="00E96491" w:rsidP="000403C1">
            <w:pPr>
              <w:pStyle w:val="TableParagraph"/>
              <w:rPr>
                <w:rFonts w:ascii="Arial" w:hAnsi="Arial" w:cs="Arial"/>
                <w:sz w:val="22"/>
              </w:rPr>
            </w:pPr>
            <w:r w:rsidRPr="008F5B2C">
              <w:rPr>
                <w:rFonts w:ascii="Arial" w:hAnsi="Arial" w:cs="Arial"/>
                <w:sz w:val="22"/>
              </w:rPr>
              <w:t>By December 2018</w:t>
            </w:r>
          </w:p>
        </w:tc>
        <w:tc>
          <w:tcPr>
            <w:tcW w:w="2443" w:type="dxa"/>
          </w:tcPr>
          <w:p w14:paraId="76706956" w14:textId="77777777" w:rsidR="00E96491" w:rsidRPr="008F5B2C" w:rsidRDefault="00E96491" w:rsidP="000403C1">
            <w:pPr>
              <w:pStyle w:val="TableParagraph"/>
              <w:rPr>
                <w:rFonts w:ascii="Arial" w:hAnsi="Arial" w:cs="Arial"/>
                <w:sz w:val="22"/>
              </w:rPr>
            </w:pPr>
            <w:r w:rsidRPr="008F5B2C">
              <w:rPr>
                <w:rFonts w:ascii="Arial" w:hAnsi="Arial" w:cs="Arial"/>
                <w:sz w:val="22"/>
              </w:rPr>
              <w:t>All managers</w:t>
            </w:r>
          </w:p>
        </w:tc>
      </w:tr>
      <w:tr w:rsidR="00E96491" w:rsidRPr="008F5B2C" w14:paraId="5A03F06C" w14:textId="77777777" w:rsidTr="00DE51CF">
        <w:trPr>
          <w:cantSplit/>
          <w:trHeight w:val="720"/>
        </w:trPr>
        <w:tc>
          <w:tcPr>
            <w:tcW w:w="3112" w:type="dxa"/>
            <w:vMerge w:val="restart"/>
          </w:tcPr>
          <w:p w14:paraId="1E917F92" w14:textId="77777777" w:rsidR="00E96491" w:rsidRPr="0010392C" w:rsidRDefault="00E96491" w:rsidP="00E96491">
            <w:pPr>
              <w:pStyle w:val="TableParagraph"/>
              <w:numPr>
                <w:ilvl w:val="0"/>
                <w:numId w:val="9"/>
              </w:numPr>
              <w:ind w:left="454" w:hanging="425"/>
              <w:rPr>
                <w:rFonts w:ascii="Arial" w:hAnsi="Arial" w:cs="Arial"/>
                <w:sz w:val="22"/>
              </w:rPr>
            </w:pPr>
            <w:r w:rsidRPr="0010392C">
              <w:rPr>
                <w:rFonts w:ascii="Arial" w:hAnsi="Arial" w:cs="Arial"/>
                <w:sz w:val="22"/>
              </w:rPr>
              <w:t>Promote importance of having open-minded career conversations with all employees</w:t>
            </w:r>
            <w:r>
              <w:rPr>
                <w:rFonts w:ascii="Arial" w:hAnsi="Arial" w:cs="Arial"/>
                <w:sz w:val="22"/>
              </w:rPr>
              <w:t>.</w:t>
            </w:r>
            <w:r w:rsidRPr="0010392C">
              <w:rPr>
                <w:rFonts w:ascii="Arial" w:hAnsi="Arial" w:cs="Arial"/>
                <w:sz w:val="22"/>
              </w:rPr>
              <w:t xml:space="preserve"> </w:t>
            </w:r>
          </w:p>
        </w:tc>
        <w:tc>
          <w:tcPr>
            <w:tcW w:w="6352" w:type="dxa"/>
          </w:tcPr>
          <w:p w14:paraId="4ED7C8F9" w14:textId="77777777" w:rsidR="00E96491" w:rsidRPr="0010392C" w:rsidRDefault="00E96491" w:rsidP="00E96491">
            <w:pPr>
              <w:pStyle w:val="TableParagraph"/>
              <w:numPr>
                <w:ilvl w:val="0"/>
                <w:numId w:val="13"/>
              </w:numPr>
              <w:ind w:left="456" w:hanging="425"/>
              <w:rPr>
                <w:rFonts w:ascii="Arial" w:hAnsi="Arial" w:cs="Arial"/>
                <w:sz w:val="22"/>
              </w:rPr>
            </w:pPr>
            <w:r>
              <w:rPr>
                <w:rFonts w:ascii="Arial" w:hAnsi="Arial" w:cs="Arial"/>
                <w:sz w:val="22"/>
              </w:rPr>
              <w:t>E</w:t>
            </w:r>
            <w:r w:rsidRPr="0010392C">
              <w:rPr>
                <w:rFonts w:ascii="Arial" w:hAnsi="Arial" w:cs="Arial"/>
                <w:sz w:val="22"/>
              </w:rPr>
              <w:t xml:space="preserve">xisting communication channels </w:t>
            </w:r>
            <w:r>
              <w:rPr>
                <w:rFonts w:ascii="Arial" w:hAnsi="Arial" w:cs="Arial"/>
                <w:sz w:val="22"/>
              </w:rPr>
              <w:t xml:space="preserve">are used </w:t>
            </w:r>
            <w:r w:rsidRPr="0010392C">
              <w:rPr>
                <w:rFonts w:ascii="Arial" w:hAnsi="Arial" w:cs="Arial"/>
                <w:sz w:val="22"/>
              </w:rPr>
              <w:t>to encourage increased discussion</w:t>
            </w:r>
            <w:r>
              <w:rPr>
                <w:rFonts w:ascii="Arial" w:hAnsi="Arial" w:cs="Arial"/>
                <w:sz w:val="22"/>
              </w:rPr>
              <w:t>s about</w:t>
            </w:r>
            <w:r w:rsidRPr="0010392C">
              <w:rPr>
                <w:rFonts w:ascii="Arial" w:hAnsi="Arial" w:cs="Arial"/>
                <w:sz w:val="22"/>
              </w:rPr>
              <w:t xml:space="preserve"> career aspirations, access to opportunities and desired work-life balance throughout the performance cycle.</w:t>
            </w:r>
          </w:p>
        </w:tc>
        <w:tc>
          <w:tcPr>
            <w:tcW w:w="2268" w:type="dxa"/>
          </w:tcPr>
          <w:p w14:paraId="4745D67E" w14:textId="77777777" w:rsidR="00E96491" w:rsidRPr="008F5B2C" w:rsidRDefault="00E96491" w:rsidP="000403C1">
            <w:pPr>
              <w:pStyle w:val="TableParagraph"/>
              <w:rPr>
                <w:rFonts w:ascii="Arial" w:hAnsi="Arial" w:cs="Arial"/>
                <w:sz w:val="22"/>
              </w:rPr>
            </w:pPr>
            <w:r w:rsidRPr="008F5B2C">
              <w:rPr>
                <w:rFonts w:ascii="Arial" w:hAnsi="Arial" w:cs="Arial"/>
                <w:sz w:val="22"/>
              </w:rPr>
              <w:t>By December 2019</w:t>
            </w:r>
          </w:p>
        </w:tc>
        <w:tc>
          <w:tcPr>
            <w:tcW w:w="2443" w:type="dxa"/>
          </w:tcPr>
          <w:p w14:paraId="5D42780A" w14:textId="77777777" w:rsidR="00E96491" w:rsidRPr="008F5B2C" w:rsidRDefault="00E96491" w:rsidP="000403C1">
            <w:pPr>
              <w:pStyle w:val="TableParagraph"/>
              <w:rPr>
                <w:rFonts w:ascii="Arial" w:hAnsi="Arial" w:cs="Arial"/>
                <w:sz w:val="22"/>
              </w:rPr>
            </w:pPr>
            <w:r w:rsidRPr="008F5B2C">
              <w:rPr>
                <w:rFonts w:ascii="Arial" w:hAnsi="Arial" w:cs="Arial"/>
                <w:sz w:val="22"/>
              </w:rPr>
              <w:t xml:space="preserve">Executive Director, People Branch </w:t>
            </w:r>
          </w:p>
        </w:tc>
      </w:tr>
      <w:tr w:rsidR="00E96491" w:rsidRPr="008F5B2C" w14:paraId="7BFDB555" w14:textId="77777777" w:rsidTr="00DE51CF">
        <w:trPr>
          <w:cantSplit/>
          <w:trHeight w:val="720"/>
        </w:trPr>
        <w:tc>
          <w:tcPr>
            <w:tcW w:w="3112" w:type="dxa"/>
            <w:vMerge/>
          </w:tcPr>
          <w:p w14:paraId="642B4270" w14:textId="77777777" w:rsidR="00E96491" w:rsidRPr="008F5B2C" w:rsidRDefault="00E96491" w:rsidP="00E96491">
            <w:pPr>
              <w:pStyle w:val="TableParagraph"/>
              <w:numPr>
                <w:ilvl w:val="0"/>
                <w:numId w:val="9"/>
              </w:numPr>
              <w:ind w:left="454" w:hanging="425"/>
              <w:rPr>
                <w:rFonts w:ascii="Arial" w:hAnsi="Arial" w:cs="Arial"/>
                <w:sz w:val="22"/>
              </w:rPr>
            </w:pPr>
          </w:p>
        </w:tc>
        <w:tc>
          <w:tcPr>
            <w:tcW w:w="6352" w:type="dxa"/>
          </w:tcPr>
          <w:p w14:paraId="6AA0AF68" w14:textId="082D107D" w:rsidR="00E96491" w:rsidRPr="008F5B2C" w:rsidRDefault="00E96491" w:rsidP="00A8211F">
            <w:pPr>
              <w:pStyle w:val="TableParagraph"/>
              <w:numPr>
                <w:ilvl w:val="0"/>
                <w:numId w:val="13"/>
              </w:numPr>
              <w:ind w:left="456" w:hanging="425"/>
              <w:rPr>
                <w:rFonts w:ascii="Arial" w:hAnsi="Arial" w:cs="Arial"/>
                <w:sz w:val="22"/>
              </w:rPr>
            </w:pPr>
            <w:r w:rsidRPr="008F5B2C">
              <w:rPr>
                <w:rFonts w:ascii="Arial" w:hAnsi="Arial" w:cs="Arial"/>
                <w:sz w:val="22"/>
              </w:rPr>
              <w:t>Fair Work Ombudsman Gender Equality Network continue</w:t>
            </w:r>
            <w:r>
              <w:rPr>
                <w:rFonts w:ascii="Arial" w:hAnsi="Arial" w:cs="Arial"/>
                <w:sz w:val="22"/>
              </w:rPr>
              <w:t>s</w:t>
            </w:r>
            <w:r w:rsidRPr="008F5B2C">
              <w:rPr>
                <w:rFonts w:ascii="Arial" w:hAnsi="Arial" w:cs="Arial"/>
                <w:sz w:val="22"/>
              </w:rPr>
              <w:t xml:space="preserve"> to encourage and support the career progression of </w:t>
            </w:r>
            <w:r w:rsidR="00A8211F">
              <w:rPr>
                <w:rFonts w:ascii="Arial" w:hAnsi="Arial" w:cs="Arial"/>
                <w:sz w:val="22"/>
              </w:rPr>
              <w:t>women.</w:t>
            </w:r>
          </w:p>
        </w:tc>
        <w:tc>
          <w:tcPr>
            <w:tcW w:w="2268" w:type="dxa"/>
          </w:tcPr>
          <w:p w14:paraId="31761820" w14:textId="77777777" w:rsidR="00E96491" w:rsidRPr="008F5B2C" w:rsidRDefault="00E96491" w:rsidP="000403C1">
            <w:pPr>
              <w:pStyle w:val="TableParagraph"/>
              <w:rPr>
                <w:rFonts w:ascii="Arial" w:hAnsi="Arial" w:cs="Arial"/>
                <w:sz w:val="22"/>
              </w:rPr>
            </w:pPr>
            <w:r w:rsidRPr="008F5B2C">
              <w:rPr>
                <w:rFonts w:ascii="Arial" w:hAnsi="Arial" w:cs="Arial"/>
                <w:sz w:val="22"/>
              </w:rPr>
              <w:t>Ongoing</w:t>
            </w:r>
          </w:p>
        </w:tc>
        <w:tc>
          <w:tcPr>
            <w:tcW w:w="2443" w:type="dxa"/>
          </w:tcPr>
          <w:p w14:paraId="1A885A52" w14:textId="77777777" w:rsidR="00E96491" w:rsidRPr="008F5B2C" w:rsidRDefault="00E96491" w:rsidP="000403C1">
            <w:pPr>
              <w:pStyle w:val="TableParagraph"/>
              <w:rPr>
                <w:rFonts w:ascii="Arial" w:hAnsi="Arial" w:cs="Arial"/>
                <w:sz w:val="22"/>
              </w:rPr>
            </w:pPr>
            <w:r w:rsidRPr="008F5B2C">
              <w:rPr>
                <w:rFonts w:ascii="Arial" w:eastAsia="Times New Roman" w:hAnsi="Arial" w:cs="Arial"/>
                <w:color w:val="000000" w:themeColor="text1"/>
                <w:sz w:val="22"/>
                <w:lang w:val="en-AU"/>
              </w:rPr>
              <w:t xml:space="preserve">Fair Work Ombudsman Gender Equality Network </w:t>
            </w:r>
          </w:p>
        </w:tc>
      </w:tr>
      <w:tr w:rsidR="00E96491" w:rsidRPr="008F5B2C" w14:paraId="63CA2411" w14:textId="77777777" w:rsidTr="00DE51CF">
        <w:trPr>
          <w:cantSplit/>
          <w:trHeight w:val="1052"/>
        </w:trPr>
        <w:tc>
          <w:tcPr>
            <w:tcW w:w="3112" w:type="dxa"/>
            <w:vMerge w:val="restart"/>
          </w:tcPr>
          <w:p w14:paraId="4F226AE6" w14:textId="77777777" w:rsidR="00E96491" w:rsidRPr="008F5B2C" w:rsidRDefault="00E96491" w:rsidP="00E96491">
            <w:pPr>
              <w:pStyle w:val="TableParagraph"/>
              <w:numPr>
                <w:ilvl w:val="0"/>
                <w:numId w:val="9"/>
              </w:numPr>
              <w:ind w:left="454" w:hanging="425"/>
              <w:rPr>
                <w:rFonts w:ascii="Arial" w:hAnsi="Arial" w:cs="Arial"/>
                <w:sz w:val="22"/>
              </w:rPr>
            </w:pPr>
            <w:r w:rsidRPr="008F5B2C">
              <w:rPr>
                <w:rFonts w:ascii="Arial" w:hAnsi="Arial" w:cs="Arial"/>
                <w:sz w:val="22"/>
              </w:rPr>
              <w:t>Reduce impact of unconscious bias on recruitment, promotion, performance and career progression decisions, and ensure managers have the skills and behaviours to build gender equality.</w:t>
            </w:r>
          </w:p>
        </w:tc>
        <w:tc>
          <w:tcPr>
            <w:tcW w:w="6352" w:type="dxa"/>
          </w:tcPr>
          <w:p w14:paraId="766BDE7B" w14:textId="77777777" w:rsidR="00E96491" w:rsidRPr="008F5B2C" w:rsidRDefault="00E96491" w:rsidP="00E96491">
            <w:pPr>
              <w:pStyle w:val="TableParagraph"/>
              <w:numPr>
                <w:ilvl w:val="0"/>
                <w:numId w:val="14"/>
              </w:numPr>
              <w:ind w:left="456" w:hanging="425"/>
              <w:rPr>
                <w:rFonts w:ascii="Arial" w:hAnsi="Arial" w:cs="Arial"/>
                <w:sz w:val="22"/>
              </w:rPr>
            </w:pPr>
            <w:r w:rsidRPr="008F5B2C">
              <w:rPr>
                <w:rFonts w:ascii="Arial" w:hAnsi="Arial" w:cs="Arial"/>
                <w:sz w:val="22"/>
              </w:rPr>
              <w:t>All managers complete unconscious bias training.</w:t>
            </w:r>
          </w:p>
        </w:tc>
        <w:tc>
          <w:tcPr>
            <w:tcW w:w="2268" w:type="dxa"/>
          </w:tcPr>
          <w:p w14:paraId="2343083A" w14:textId="77777777" w:rsidR="00E96491" w:rsidRPr="008F5B2C" w:rsidRDefault="00E96491" w:rsidP="000403C1">
            <w:pPr>
              <w:pStyle w:val="TableParagraph"/>
              <w:rPr>
                <w:rFonts w:ascii="Arial" w:hAnsi="Arial" w:cs="Arial"/>
                <w:sz w:val="22"/>
              </w:rPr>
            </w:pPr>
            <w:r w:rsidRPr="008F5B2C">
              <w:rPr>
                <w:rFonts w:ascii="Arial" w:hAnsi="Arial" w:cs="Arial"/>
                <w:sz w:val="22"/>
              </w:rPr>
              <w:t>By December 2018</w:t>
            </w:r>
          </w:p>
          <w:p w14:paraId="5D9F5024" w14:textId="77777777" w:rsidR="00E96491" w:rsidRPr="008F5B2C" w:rsidRDefault="00E96491" w:rsidP="000403C1">
            <w:pPr>
              <w:pStyle w:val="TableParagraph"/>
              <w:rPr>
                <w:rFonts w:ascii="Arial" w:hAnsi="Arial" w:cs="Arial"/>
                <w:color w:val="FF0000"/>
                <w:sz w:val="22"/>
              </w:rPr>
            </w:pPr>
          </w:p>
        </w:tc>
        <w:tc>
          <w:tcPr>
            <w:tcW w:w="2443" w:type="dxa"/>
          </w:tcPr>
          <w:p w14:paraId="43D26253" w14:textId="77777777" w:rsidR="00E96491" w:rsidRPr="008F5B2C" w:rsidRDefault="00E96491" w:rsidP="000403C1">
            <w:pPr>
              <w:pStyle w:val="TableParagraph"/>
              <w:rPr>
                <w:rFonts w:ascii="Arial" w:hAnsi="Arial" w:cs="Arial"/>
                <w:sz w:val="22"/>
              </w:rPr>
            </w:pPr>
            <w:r w:rsidRPr="008F5B2C">
              <w:rPr>
                <w:rFonts w:ascii="Arial" w:hAnsi="Arial" w:cs="Arial"/>
                <w:sz w:val="22"/>
              </w:rPr>
              <w:t>All managers</w:t>
            </w:r>
          </w:p>
          <w:p w14:paraId="7912DD8B" w14:textId="77777777" w:rsidR="00E96491" w:rsidRPr="008F5B2C" w:rsidRDefault="00E96491" w:rsidP="000403C1">
            <w:pPr>
              <w:pStyle w:val="TableParagraph"/>
              <w:rPr>
                <w:rFonts w:ascii="Arial" w:hAnsi="Arial" w:cs="Arial"/>
                <w:sz w:val="22"/>
              </w:rPr>
            </w:pPr>
          </w:p>
        </w:tc>
      </w:tr>
      <w:tr w:rsidR="00E96491" w:rsidRPr="008F5B2C" w14:paraId="59E71EC4" w14:textId="77777777" w:rsidTr="00DE51CF">
        <w:trPr>
          <w:cantSplit/>
          <w:trHeight w:val="1052"/>
        </w:trPr>
        <w:tc>
          <w:tcPr>
            <w:tcW w:w="3112" w:type="dxa"/>
            <w:vMerge/>
          </w:tcPr>
          <w:p w14:paraId="5CD682B4" w14:textId="77777777" w:rsidR="00E96491" w:rsidRPr="008F5B2C" w:rsidRDefault="00E96491" w:rsidP="00E96491">
            <w:pPr>
              <w:pStyle w:val="TableParagraph"/>
              <w:numPr>
                <w:ilvl w:val="0"/>
                <w:numId w:val="9"/>
              </w:numPr>
              <w:ind w:left="454" w:hanging="425"/>
              <w:rPr>
                <w:rFonts w:ascii="Arial" w:hAnsi="Arial" w:cs="Arial"/>
                <w:sz w:val="22"/>
              </w:rPr>
            </w:pPr>
          </w:p>
        </w:tc>
        <w:tc>
          <w:tcPr>
            <w:tcW w:w="6352" w:type="dxa"/>
          </w:tcPr>
          <w:p w14:paraId="2C612E20" w14:textId="77777777" w:rsidR="00E96491" w:rsidRPr="008F5B2C" w:rsidRDefault="00E96491" w:rsidP="00E96491">
            <w:pPr>
              <w:pStyle w:val="TableParagraph"/>
              <w:numPr>
                <w:ilvl w:val="0"/>
                <w:numId w:val="14"/>
              </w:numPr>
              <w:ind w:left="456" w:hanging="425"/>
              <w:rPr>
                <w:rFonts w:ascii="Arial" w:hAnsi="Arial" w:cs="Arial"/>
                <w:sz w:val="22"/>
              </w:rPr>
            </w:pPr>
            <w:r w:rsidRPr="008F5B2C">
              <w:rPr>
                <w:rFonts w:ascii="Arial" w:hAnsi="Arial" w:cs="Arial"/>
                <w:sz w:val="22"/>
              </w:rPr>
              <w:t>Selection panels will include at least one person who has completed unconscious bias training.</w:t>
            </w:r>
          </w:p>
        </w:tc>
        <w:tc>
          <w:tcPr>
            <w:tcW w:w="2268" w:type="dxa"/>
          </w:tcPr>
          <w:p w14:paraId="27334955" w14:textId="77777777" w:rsidR="00E96491" w:rsidRPr="008F5B2C" w:rsidRDefault="00E96491" w:rsidP="000403C1">
            <w:pPr>
              <w:pStyle w:val="TableParagraph"/>
              <w:rPr>
                <w:rFonts w:ascii="Arial" w:hAnsi="Arial" w:cs="Arial"/>
                <w:sz w:val="22"/>
              </w:rPr>
            </w:pPr>
            <w:r w:rsidRPr="008F5B2C">
              <w:rPr>
                <w:rFonts w:ascii="Arial" w:hAnsi="Arial" w:cs="Arial"/>
                <w:sz w:val="22"/>
              </w:rPr>
              <w:t>Ongoing</w:t>
            </w:r>
          </w:p>
        </w:tc>
        <w:tc>
          <w:tcPr>
            <w:tcW w:w="2443" w:type="dxa"/>
          </w:tcPr>
          <w:p w14:paraId="75911532" w14:textId="77777777" w:rsidR="00E96491" w:rsidRPr="008F5B2C" w:rsidRDefault="00E96491" w:rsidP="000403C1">
            <w:pPr>
              <w:pStyle w:val="TableParagraph"/>
              <w:rPr>
                <w:rFonts w:ascii="Arial" w:hAnsi="Arial" w:cs="Arial"/>
                <w:sz w:val="22"/>
              </w:rPr>
            </w:pPr>
            <w:r w:rsidRPr="008F5B2C">
              <w:rPr>
                <w:rFonts w:ascii="Arial" w:hAnsi="Arial" w:cs="Arial"/>
                <w:sz w:val="22"/>
              </w:rPr>
              <w:t>Executive Director, People Branch</w:t>
            </w:r>
          </w:p>
        </w:tc>
      </w:tr>
      <w:tr w:rsidR="00E96491" w:rsidRPr="008F5B2C" w14:paraId="46AFC725" w14:textId="77777777" w:rsidTr="00DE51CF">
        <w:trPr>
          <w:cantSplit/>
          <w:trHeight w:val="1052"/>
        </w:trPr>
        <w:tc>
          <w:tcPr>
            <w:tcW w:w="3112" w:type="dxa"/>
            <w:vMerge w:val="restart"/>
          </w:tcPr>
          <w:p w14:paraId="12942BEF" w14:textId="77777777" w:rsidR="00E96491" w:rsidRPr="008F5B2C" w:rsidRDefault="00E96491" w:rsidP="00E96491">
            <w:pPr>
              <w:pStyle w:val="TableParagraph"/>
              <w:numPr>
                <w:ilvl w:val="0"/>
                <w:numId w:val="9"/>
              </w:numPr>
              <w:ind w:left="454" w:hanging="425"/>
              <w:rPr>
                <w:rFonts w:ascii="Arial" w:hAnsi="Arial" w:cs="Arial"/>
                <w:sz w:val="22"/>
              </w:rPr>
            </w:pPr>
            <w:r w:rsidRPr="008F5B2C">
              <w:rPr>
                <w:rFonts w:ascii="Arial" w:hAnsi="Arial" w:cs="Arial"/>
                <w:sz w:val="22"/>
              </w:rPr>
              <w:t xml:space="preserve">Improve recruitment processes to enhance gender equality at all </w:t>
            </w:r>
            <w:r w:rsidRPr="00A7464B">
              <w:rPr>
                <w:rFonts w:ascii="Arial" w:hAnsi="Arial" w:cs="Arial"/>
                <w:sz w:val="22"/>
              </w:rPr>
              <w:t xml:space="preserve">stages of recruitment </w:t>
            </w:r>
            <w:r w:rsidRPr="00A7464B">
              <w:rPr>
                <w:rFonts w:ascii="Arial" w:hAnsi="Arial" w:cs="Arial"/>
                <w:sz w:val="22"/>
                <w:lang w:val="en-AU"/>
              </w:rPr>
              <w:t>including longer term acting opportunities</w:t>
            </w:r>
            <w:r w:rsidRPr="00A7464B">
              <w:rPr>
                <w:rFonts w:ascii="Arial" w:hAnsi="Arial" w:cs="Arial"/>
                <w:sz w:val="22"/>
              </w:rPr>
              <w:t>.</w:t>
            </w:r>
            <w:r w:rsidRPr="008F5B2C">
              <w:rPr>
                <w:rFonts w:ascii="Arial" w:hAnsi="Arial" w:cs="Arial"/>
                <w:sz w:val="22"/>
              </w:rPr>
              <w:t xml:space="preserve"> </w:t>
            </w:r>
          </w:p>
        </w:tc>
        <w:tc>
          <w:tcPr>
            <w:tcW w:w="6352" w:type="dxa"/>
          </w:tcPr>
          <w:p w14:paraId="5966246C" w14:textId="77777777" w:rsidR="00E96491" w:rsidRPr="008F5B2C" w:rsidRDefault="00E96491" w:rsidP="00E96491">
            <w:pPr>
              <w:pStyle w:val="TableParagraph"/>
              <w:numPr>
                <w:ilvl w:val="0"/>
                <w:numId w:val="15"/>
              </w:numPr>
              <w:ind w:left="456" w:hanging="425"/>
              <w:rPr>
                <w:rFonts w:ascii="Arial" w:hAnsi="Arial" w:cs="Arial"/>
                <w:sz w:val="22"/>
              </w:rPr>
            </w:pPr>
            <w:r w:rsidRPr="008F5B2C">
              <w:rPr>
                <w:rFonts w:ascii="Arial" w:hAnsi="Arial" w:cs="Arial"/>
                <w:sz w:val="22"/>
              </w:rPr>
              <w:t>Opportunities to collect gender data from various stages of the recruitment process are enhanced.</w:t>
            </w:r>
          </w:p>
        </w:tc>
        <w:tc>
          <w:tcPr>
            <w:tcW w:w="2268" w:type="dxa"/>
          </w:tcPr>
          <w:p w14:paraId="3E9030B4" w14:textId="77777777" w:rsidR="00E96491" w:rsidRPr="008F5B2C" w:rsidRDefault="00E96491" w:rsidP="000403C1">
            <w:pPr>
              <w:pStyle w:val="TableParagraph"/>
              <w:rPr>
                <w:rFonts w:ascii="Arial" w:hAnsi="Arial" w:cs="Arial"/>
                <w:sz w:val="22"/>
              </w:rPr>
            </w:pPr>
            <w:r w:rsidRPr="008F5B2C">
              <w:rPr>
                <w:rFonts w:ascii="Arial" w:hAnsi="Arial" w:cs="Arial"/>
                <w:sz w:val="22"/>
              </w:rPr>
              <w:t>By December 2018</w:t>
            </w:r>
          </w:p>
        </w:tc>
        <w:tc>
          <w:tcPr>
            <w:tcW w:w="2443" w:type="dxa"/>
          </w:tcPr>
          <w:p w14:paraId="3CA951B1" w14:textId="77777777" w:rsidR="00E96491" w:rsidRPr="008F5B2C" w:rsidRDefault="00E96491" w:rsidP="000403C1">
            <w:pPr>
              <w:pStyle w:val="TableParagraph"/>
              <w:rPr>
                <w:rFonts w:ascii="Arial" w:hAnsi="Arial" w:cs="Arial"/>
                <w:sz w:val="22"/>
              </w:rPr>
            </w:pPr>
            <w:r w:rsidRPr="008F5B2C">
              <w:rPr>
                <w:rFonts w:ascii="Arial" w:hAnsi="Arial" w:cs="Arial"/>
                <w:sz w:val="22"/>
              </w:rPr>
              <w:t>Executive Director, People Branch</w:t>
            </w:r>
          </w:p>
        </w:tc>
      </w:tr>
      <w:tr w:rsidR="00E96491" w:rsidRPr="008F5B2C" w14:paraId="5B4666D1" w14:textId="77777777" w:rsidTr="00DE51CF">
        <w:trPr>
          <w:cantSplit/>
          <w:trHeight w:val="1052"/>
        </w:trPr>
        <w:tc>
          <w:tcPr>
            <w:tcW w:w="3112" w:type="dxa"/>
            <w:vMerge/>
          </w:tcPr>
          <w:p w14:paraId="6077BA18" w14:textId="77777777" w:rsidR="00E96491" w:rsidRPr="008F5B2C" w:rsidRDefault="00E96491" w:rsidP="000403C1">
            <w:pPr>
              <w:pStyle w:val="TableParagraph"/>
              <w:rPr>
                <w:rFonts w:ascii="Arial" w:hAnsi="Arial" w:cs="Arial"/>
                <w:sz w:val="22"/>
              </w:rPr>
            </w:pPr>
          </w:p>
        </w:tc>
        <w:tc>
          <w:tcPr>
            <w:tcW w:w="6352" w:type="dxa"/>
          </w:tcPr>
          <w:p w14:paraId="6C2B1AE2" w14:textId="77777777" w:rsidR="00E96491" w:rsidRPr="008F5B2C" w:rsidRDefault="00E96491" w:rsidP="00E96491">
            <w:pPr>
              <w:pStyle w:val="TableParagraph"/>
              <w:numPr>
                <w:ilvl w:val="0"/>
                <w:numId w:val="15"/>
              </w:numPr>
              <w:ind w:left="456" w:hanging="425"/>
              <w:rPr>
                <w:rFonts w:ascii="Arial" w:hAnsi="Arial" w:cs="Arial"/>
                <w:sz w:val="22"/>
              </w:rPr>
            </w:pPr>
            <w:r w:rsidRPr="008F5B2C">
              <w:rPr>
                <w:rFonts w:ascii="Arial" w:hAnsi="Arial" w:cs="Arial"/>
                <w:sz w:val="22"/>
              </w:rPr>
              <w:t xml:space="preserve">Advertising and position descriptions are gender neutral, ensuring flexible work options and required competencies are clear. </w:t>
            </w:r>
          </w:p>
        </w:tc>
        <w:tc>
          <w:tcPr>
            <w:tcW w:w="2268" w:type="dxa"/>
          </w:tcPr>
          <w:p w14:paraId="4CB34D15" w14:textId="77777777" w:rsidR="00E96491" w:rsidRPr="008F5B2C" w:rsidRDefault="00E96491" w:rsidP="000403C1">
            <w:pPr>
              <w:pStyle w:val="TableParagraph"/>
              <w:rPr>
                <w:rFonts w:ascii="Arial" w:hAnsi="Arial" w:cs="Arial"/>
                <w:sz w:val="22"/>
              </w:rPr>
            </w:pPr>
            <w:r w:rsidRPr="008F5B2C">
              <w:rPr>
                <w:rFonts w:ascii="Arial" w:hAnsi="Arial" w:cs="Arial"/>
                <w:sz w:val="22"/>
              </w:rPr>
              <w:t>Ongoing</w:t>
            </w:r>
          </w:p>
        </w:tc>
        <w:tc>
          <w:tcPr>
            <w:tcW w:w="2443" w:type="dxa"/>
          </w:tcPr>
          <w:p w14:paraId="15A0F792" w14:textId="77777777" w:rsidR="00E96491" w:rsidRPr="008F5B2C" w:rsidRDefault="00E96491" w:rsidP="000403C1">
            <w:pPr>
              <w:pStyle w:val="TableParagraph"/>
              <w:rPr>
                <w:rFonts w:ascii="Arial" w:hAnsi="Arial" w:cs="Arial"/>
                <w:sz w:val="22"/>
              </w:rPr>
            </w:pPr>
            <w:r w:rsidRPr="008F5B2C">
              <w:rPr>
                <w:rFonts w:ascii="Arial" w:hAnsi="Arial" w:cs="Arial"/>
                <w:sz w:val="22"/>
              </w:rPr>
              <w:t>Selection advisory committee chair supported by People Branch</w:t>
            </w:r>
          </w:p>
        </w:tc>
      </w:tr>
      <w:tr w:rsidR="00E96491" w:rsidRPr="008F5B2C" w14:paraId="03CBCA1D" w14:textId="77777777" w:rsidTr="00DE51CF">
        <w:trPr>
          <w:cantSplit/>
          <w:trHeight w:val="1052"/>
        </w:trPr>
        <w:tc>
          <w:tcPr>
            <w:tcW w:w="3112" w:type="dxa"/>
            <w:vMerge/>
          </w:tcPr>
          <w:p w14:paraId="36E34468" w14:textId="77777777" w:rsidR="00E96491" w:rsidRPr="008F5B2C" w:rsidRDefault="00E96491" w:rsidP="000403C1">
            <w:pPr>
              <w:pStyle w:val="TableParagraph"/>
              <w:rPr>
                <w:rFonts w:ascii="Arial" w:hAnsi="Arial" w:cs="Arial"/>
                <w:sz w:val="22"/>
              </w:rPr>
            </w:pPr>
          </w:p>
        </w:tc>
        <w:tc>
          <w:tcPr>
            <w:tcW w:w="6352" w:type="dxa"/>
          </w:tcPr>
          <w:p w14:paraId="47C41383" w14:textId="77777777" w:rsidR="00E96491" w:rsidRPr="008F5B2C" w:rsidRDefault="00E96491" w:rsidP="00E96491">
            <w:pPr>
              <w:pStyle w:val="TableParagraph"/>
              <w:numPr>
                <w:ilvl w:val="0"/>
                <w:numId w:val="15"/>
              </w:numPr>
              <w:ind w:left="456" w:hanging="425"/>
              <w:rPr>
                <w:rFonts w:ascii="Arial" w:hAnsi="Arial" w:cs="Arial"/>
                <w:sz w:val="22"/>
              </w:rPr>
            </w:pPr>
            <w:r w:rsidRPr="008F5B2C">
              <w:rPr>
                <w:rFonts w:ascii="Arial" w:hAnsi="Arial" w:cs="Arial"/>
                <w:sz w:val="22"/>
              </w:rPr>
              <w:t>Selection panels have appropriate gender balance.</w:t>
            </w:r>
          </w:p>
        </w:tc>
        <w:tc>
          <w:tcPr>
            <w:tcW w:w="2268" w:type="dxa"/>
          </w:tcPr>
          <w:p w14:paraId="482D583D" w14:textId="77777777" w:rsidR="00E96491" w:rsidRPr="008F5B2C" w:rsidRDefault="00E96491" w:rsidP="000403C1">
            <w:pPr>
              <w:pStyle w:val="TableParagraph"/>
              <w:rPr>
                <w:rFonts w:ascii="Arial" w:hAnsi="Arial" w:cs="Arial"/>
                <w:sz w:val="22"/>
              </w:rPr>
            </w:pPr>
            <w:r w:rsidRPr="008F5B2C">
              <w:rPr>
                <w:rFonts w:ascii="Arial" w:hAnsi="Arial" w:cs="Arial"/>
                <w:sz w:val="22"/>
              </w:rPr>
              <w:t>Ongoing</w:t>
            </w:r>
          </w:p>
        </w:tc>
        <w:tc>
          <w:tcPr>
            <w:tcW w:w="2443" w:type="dxa"/>
          </w:tcPr>
          <w:p w14:paraId="0E9EF939" w14:textId="77777777" w:rsidR="00E96491" w:rsidRPr="008F5B2C" w:rsidRDefault="00E96491" w:rsidP="000403C1">
            <w:pPr>
              <w:pStyle w:val="TableParagraph"/>
              <w:rPr>
                <w:rFonts w:ascii="Arial" w:hAnsi="Arial" w:cs="Arial"/>
                <w:sz w:val="22"/>
              </w:rPr>
            </w:pPr>
            <w:r w:rsidRPr="008F5B2C">
              <w:rPr>
                <w:rFonts w:ascii="Arial" w:hAnsi="Arial" w:cs="Arial"/>
                <w:sz w:val="22"/>
              </w:rPr>
              <w:t>Selection advisory committee chair supported by People Branch</w:t>
            </w:r>
          </w:p>
        </w:tc>
      </w:tr>
      <w:tr w:rsidR="00E96491" w:rsidRPr="008F5B2C" w14:paraId="3BB554E3" w14:textId="77777777" w:rsidTr="00DE51CF">
        <w:trPr>
          <w:cantSplit/>
          <w:trHeight w:val="1052"/>
        </w:trPr>
        <w:tc>
          <w:tcPr>
            <w:tcW w:w="3112" w:type="dxa"/>
            <w:vMerge/>
          </w:tcPr>
          <w:p w14:paraId="3C157C2C" w14:textId="77777777" w:rsidR="00E96491" w:rsidRPr="008F5B2C" w:rsidRDefault="00E96491" w:rsidP="000403C1">
            <w:pPr>
              <w:pStyle w:val="TableParagraph"/>
              <w:rPr>
                <w:rFonts w:ascii="Arial" w:hAnsi="Arial" w:cs="Arial"/>
                <w:sz w:val="22"/>
              </w:rPr>
            </w:pPr>
          </w:p>
        </w:tc>
        <w:tc>
          <w:tcPr>
            <w:tcW w:w="6352" w:type="dxa"/>
          </w:tcPr>
          <w:p w14:paraId="1F498252" w14:textId="77777777" w:rsidR="00E96491" w:rsidRPr="008F5B2C" w:rsidRDefault="00E96491" w:rsidP="00E96491">
            <w:pPr>
              <w:pStyle w:val="TableParagraph"/>
              <w:numPr>
                <w:ilvl w:val="0"/>
                <w:numId w:val="15"/>
              </w:numPr>
              <w:ind w:left="456" w:hanging="425"/>
              <w:rPr>
                <w:rFonts w:ascii="Arial" w:hAnsi="Arial" w:cs="Arial"/>
                <w:sz w:val="22"/>
              </w:rPr>
            </w:pPr>
            <w:r w:rsidRPr="008F5B2C">
              <w:rPr>
                <w:rFonts w:ascii="Arial" w:hAnsi="Arial" w:cs="Arial"/>
                <w:sz w:val="22"/>
              </w:rPr>
              <w:t>Objective testing</w:t>
            </w:r>
            <w:r>
              <w:rPr>
                <w:rStyle w:val="FootnoteReference"/>
                <w:sz w:val="22"/>
              </w:rPr>
              <w:footnoteReference w:id="6"/>
            </w:r>
            <w:r w:rsidRPr="008F5B2C">
              <w:rPr>
                <w:rFonts w:ascii="Arial" w:hAnsi="Arial" w:cs="Arial"/>
                <w:sz w:val="22"/>
              </w:rPr>
              <w:t xml:space="preserve"> is used more effectively and frequently in the recruitment process</w:t>
            </w:r>
            <w:r>
              <w:rPr>
                <w:rFonts w:ascii="Arial" w:hAnsi="Arial" w:cs="Arial"/>
                <w:sz w:val="22"/>
              </w:rPr>
              <w:t>.</w:t>
            </w:r>
          </w:p>
        </w:tc>
        <w:tc>
          <w:tcPr>
            <w:tcW w:w="2268" w:type="dxa"/>
          </w:tcPr>
          <w:p w14:paraId="62195190" w14:textId="77777777" w:rsidR="00E96491" w:rsidRPr="008F5B2C" w:rsidRDefault="00E96491" w:rsidP="000403C1">
            <w:pPr>
              <w:pStyle w:val="TableParagraph"/>
              <w:rPr>
                <w:rFonts w:ascii="Arial" w:hAnsi="Arial" w:cs="Arial"/>
                <w:sz w:val="22"/>
              </w:rPr>
            </w:pPr>
            <w:r w:rsidRPr="008F5B2C">
              <w:rPr>
                <w:rFonts w:ascii="Arial" w:hAnsi="Arial" w:cs="Arial"/>
                <w:sz w:val="22"/>
              </w:rPr>
              <w:t>Ongoing</w:t>
            </w:r>
          </w:p>
        </w:tc>
        <w:tc>
          <w:tcPr>
            <w:tcW w:w="2443" w:type="dxa"/>
          </w:tcPr>
          <w:p w14:paraId="005AEFFC" w14:textId="77777777" w:rsidR="00E96491" w:rsidRPr="008F5B2C" w:rsidRDefault="00E96491" w:rsidP="000403C1">
            <w:pPr>
              <w:pStyle w:val="TableParagraph"/>
              <w:rPr>
                <w:rFonts w:ascii="Arial" w:hAnsi="Arial" w:cs="Arial"/>
                <w:sz w:val="22"/>
              </w:rPr>
            </w:pPr>
            <w:r w:rsidRPr="008F5B2C">
              <w:rPr>
                <w:rFonts w:ascii="Arial" w:hAnsi="Arial" w:cs="Arial"/>
                <w:sz w:val="22"/>
              </w:rPr>
              <w:t>Selection advisory committee chair supported by People Branch</w:t>
            </w:r>
          </w:p>
        </w:tc>
      </w:tr>
    </w:tbl>
    <w:p w14:paraId="3686671A" w14:textId="77777777" w:rsidR="00E96491" w:rsidRPr="008F5B2C" w:rsidRDefault="00E96491" w:rsidP="00E96491">
      <w:pPr>
        <w:rPr>
          <w:rFonts w:ascii="Arial" w:hAnsi="Arial"/>
        </w:rPr>
      </w:pPr>
    </w:p>
    <w:p w14:paraId="5D2E221E" w14:textId="77777777" w:rsidR="00E96491" w:rsidRPr="008F5B2C" w:rsidRDefault="00E96491" w:rsidP="00E96491">
      <w:pPr>
        <w:rPr>
          <w:rFonts w:ascii="Arial" w:hAnsi="Arial"/>
        </w:rPr>
      </w:pPr>
      <w:r w:rsidRPr="008F5B2C">
        <w:rPr>
          <w:rFonts w:ascii="Arial" w:hAnsi="Arial"/>
        </w:rPr>
        <w:br w:type="page"/>
      </w:r>
    </w:p>
    <w:p w14:paraId="4DDFB24A" w14:textId="77777777" w:rsidR="00E96491" w:rsidRPr="008F5B2C" w:rsidRDefault="00E96491" w:rsidP="00E96491">
      <w:pPr>
        <w:pStyle w:val="Heading3"/>
      </w:pPr>
      <w:r w:rsidRPr="008F5B2C">
        <w:lastRenderedPageBreak/>
        <w:t>Achieve gender equality in senior leadership (EL2 and above)</w:t>
      </w:r>
    </w:p>
    <w:p w14:paraId="17C9F0ED" w14:textId="47EC2807" w:rsidR="00E96491" w:rsidRPr="009A1C4A" w:rsidRDefault="00E96491" w:rsidP="009A1C4A">
      <w:pPr>
        <w:pStyle w:val="Heading4"/>
      </w:pPr>
      <w:r w:rsidRPr="008F5B2C">
        <w:t>We will achieve approximately 50% representation of women in substantive EL2 and SES1 positions by 3</w:t>
      </w:r>
      <w:r>
        <w:t>1 December</w:t>
      </w:r>
      <w:r w:rsidRPr="008F5B2C">
        <w:t xml:space="preserve"> 202</w:t>
      </w:r>
      <w:r>
        <w:t>1</w:t>
      </w:r>
      <w:r w:rsidRPr="008F5B2C">
        <w:t>, and receive 90% positive responses to relevant manager and SES questions in the 202</w:t>
      </w:r>
      <w:r>
        <w:t>1</w:t>
      </w:r>
      <w:r w:rsidRPr="008F5B2C">
        <w:t xml:space="preserve"> APS Employee Census.</w:t>
      </w:r>
    </w:p>
    <w:tbl>
      <w:tblPr>
        <w:tblStyle w:val="TableGrid"/>
        <w:tblW w:w="9639" w:type="dxa"/>
        <w:tblLook w:val="04A0" w:firstRow="1" w:lastRow="0" w:firstColumn="1" w:lastColumn="0" w:noHBand="0" w:noVBand="1"/>
        <w:tblCaption w:val="Relationships Action Table"/>
        <w:tblDescription w:val="Relationships Action Table"/>
      </w:tblPr>
      <w:tblGrid>
        <w:gridCol w:w="2511"/>
        <w:gridCol w:w="3580"/>
        <w:gridCol w:w="1417"/>
        <w:gridCol w:w="2131"/>
      </w:tblGrid>
      <w:tr w:rsidR="00E96491" w:rsidRPr="008F5B2C" w14:paraId="26941C5F" w14:textId="77777777" w:rsidTr="009A1C4A">
        <w:trPr>
          <w:cantSplit/>
          <w:tblHeader/>
        </w:trPr>
        <w:tc>
          <w:tcPr>
            <w:tcW w:w="2511" w:type="dxa"/>
            <w:shd w:val="clear" w:color="auto" w:fill="auto"/>
            <w:hideMark/>
          </w:tcPr>
          <w:p w14:paraId="392C8013" w14:textId="77777777" w:rsidR="00E96491" w:rsidRPr="008F5B2C" w:rsidRDefault="00E96491" w:rsidP="000403C1">
            <w:pPr>
              <w:pStyle w:val="TableParagraph"/>
              <w:rPr>
                <w:rFonts w:ascii="Arial" w:hAnsi="Arial" w:cs="Arial"/>
                <w:color w:val="000000" w:themeColor="text1"/>
              </w:rPr>
            </w:pPr>
            <w:r w:rsidRPr="008F5B2C">
              <w:rPr>
                <w:rFonts w:ascii="Arial" w:hAnsi="Arial" w:cs="Arial"/>
                <w:b/>
                <w:color w:val="000000" w:themeColor="text1"/>
              </w:rPr>
              <w:t>Actions</w:t>
            </w:r>
          </w:p>
        </w:tc>
        <w:tc>
          <w:tcPr>
            <w:tcW w:w="3580" w:type="dxa"/>
            <w:shd w:val="clear" w:color="auto" w:fill="auto"/>
            <w:hideMark/>
          </w:tcPr>
          <w:p w14:paraId="7B3A39C8" w14:textId="77777777" w:rsidR="00E96491" w:rsidRPr="008F5B2C" w:rsidRDefault="00E96491" w:rsidP="000403C1">
            <w:pPr>
              <w:pStyle w:val="TableParagraph"/>
              <w:rPr>
                <w:rFonts w:ascii="Arial" w:hAnsi="Arial" w:cs="Arial"/>
                <w:color w:val="000000" w:themeColor="text1"/>
              </w:rPr>
            </w:pPr>
            <w:r w:rsidRPr="008F5B2C">
              <w:rPr>
                <w:rFonts w:ascii="Arial" w:hAnsi="Arial" w:cs="Arial"/>
                <w:b/>
                <w:color w:val="000000" w:themeColor="text1"/>
              </w:rPr>
              <w:t>Deliverables</w:t>
            </w:r>
          </w:p>
        </w:tc>
        <w:tc>
          <w:tcPr>
            <w:tcW w:w="1417" w:type="dxa"/>
            <w:shd w:val="clear" w:color="auto" w:fill="auto"/>
          </w:tcPr>
          <w:p w14:paraId="03C7A88B" w14:textId="77777777" w:rsidR="00E96491" w:rsidRPr="008F5B2C" w:rsidRDefault="00E96491" w:rsidP="000403C1">
            <w:pPr>
              <w:pStyle w:val="TableParagraph"/>
              <w:rPr>
                <w:rFonts w:ascii="Arial" w:hAnsi="Arial" w:cs="Arial"/>
                <w:b/>
                <w:color w:val="000000" w:themeColor="text1"/>
              </w:rPr>
            </w:pPr>
            <w:r w:rsidRPr="008F5B2C">
              <w:rPr>
                <w:rFonts w:ascii="Arial" w:hAnsi="Arial" w:cs="Arial"/>
                <w:b/>
                <w:color w:val="000000" w:themeColor="text1"/>
              </w:rPr>
              <w:t>Timeline</w:t>
            </w:r>
          </w:p>
        </w:tc>
        <w:tc>
          <w:tcPr>
            <w:tcW w:w="2131" w:type="dxa"/>
            <w:shd w:val="clear" w:color="auto" w:fill="auto"/>
          </w:tcPr>
          <w:p w14:paraId="1D998BC7" w14:textId="77777777" w:rsidR="00E96491" w:rsidRPr="008F5B2C" w:rsidRDefault="00E96491" w:rsidP="000403C1">
            <w:pPr>
              <w:pStyle w:val="TableParagraph"/>
              <w:rPr>
                <w:rFonts w:ascii="Arial" w:hAnsi="Arial" w:cs="Arial"/>
                <w:b/>
                <w:color w:val="000000" w:themeColor="text1"/>
              </w:rPr>
            </w:pPr>
            <w:r w:rsidRPr="008F5B2C">
              <w:rPr>
                <w:rFonts w:ascii="Arial" w:hAnsi="Arial" w:cs="Arial"/>
                <w:b/>
                <w:color w:val="000000" w:themeColor="text1"/>
              </w:rPr>
              <w:t>Responsibility</w:t>
            </w:r>
          </w:p>
        </w:tc>
      </w:tr>
      <w:tr w:rsidR="00E96491" w:rsidRPr="008F5B2C" w14:paraId="209F6D4D" w14:textId="77777777" w:rsidTr="009A1C4A">
        <w:trPr>
          <w:cantSplit/>
          <w:trHeight w:val="703"/>
        </w:trPr>
        <w:tc>
          <w:tcPr>
            <w:tcW w:w="2511" w:type="dxa"/>
            <w:vMerge w:val="restart"/>
          </w:tcPr>
          <w:p w14:paraId="1B114281" w14:textId="77777777" w:rsidR="00E96491" w:rsidRPr="008F5B2C" w:rsidRDefault="00E96491" w:rsidP="00E96491">
            <w:pPr>
              <w:pStyle w:val="TableParagraph"/>
              <w:numPr>
                <w:ilvl w:val="0"/>
                <w:numId w:val="9"/>
              </w:numPr>
              <w:ind w:left="454" w:hanging="425"/>
              <w:rPr>
                <w:rFonts w:ascii="Arial" w:hAnsi="Arial" w:cs="Arial"/>
                <w:sz w:val="22"/>
              </w:rPr>
            </w:pPr>
            <w:r w:rsidRPr="008F5B2C">
              <w:rPr>
                <w:rFonts w:ascii="Arial" w:hAnsi="Arial" w:cs="Arial"/>
                <w:sz w:val="22"/>
              </w:rPr>
              <w:t>Collaborate with the Manager Academy project to ensure opportunities</w:t>
            </w:r>
            <w:r>
              <w:rPr>
                <w:rFonts w:ascii="Arial" w:hAnsi="Arial" w:cs="Arial"/>
                <w:sz w:val="22"/>
              </w:rPr>
              <w:t xml:space="preserve"> are </w:t>
            </w:r>
            <w:r w:rsidRPr="008F5B2C">
              <w:rPr>
                <w:rFonts w:ascii="Arial" w:hAnsi="Arial" w:cs="Arial"/>
                <w:sz w:val="22"/>
              </w:rPr>
              <w:t>taken</w:t>
            </w:r>
            <w:r>
              <w:rPr>
                <w:rFonts w:ascii="Arial" w:hAnsi="Arial" w:cs="Arial"/>
                <w:sz w:val="22"/>
              </w:rPr>
              <w:t xml:space="preserve"> to enhance gender equality.</w:t>
            </w:r>
          </w:p>
        </w:tc>
        <w:tc>
          <w:tcPr>
            <w:tcW w:w="3580" w:type="dxa"/>
          </w:tcPr>
          <w:p w14:paraId="0031081D" w14:textId="77777777" w:rsidR="00E96491" w:rsidRPr="008F5B2C" w:rsidRDefault="00E96491" w:rsidP="00E96491">
            <w:pPr>
              <w:pStyle w:val="TableParagraph"/>
              <w:numPr>
                <w:ilvl w:val="0"/>
                <w:numId w:val="16"/>
              </w:numPr>
              <w:ind w:left="456" w:hanging="425"/>
              <w:rPr>
                <w:rFonts w:ascii="Arial" w:hAnsi="Arial" w:cs="Arial"/>
                <w:sz w:val="22"/>
              </w:rPr>
            </w:pPr>
            <w:r w:rsidRPr="008F5B2C">
              <w:rPr>
                <w:rFonts w:ascii="Arial" w:hAnsi="Arial" w:cs="Arial"/>
                <w:sz w:val="22"/>
              </w:rPr>
              <w:t>Senior leaders are encouraged to mentor someone ‘not like me’ to increase the diversity of future leaders by incorporating ‘not like me’ principles into the proposed Manager mentoring and buddy facilitation initiative.</w:t>
            </w:r>
          </w:p>
        </w:tc>
        <w:tc>
          <w:tcPr>
            <w:tcW w:w="1417" w:type="dxa"/>
          </w:tcPr>
          <w:p w14:paraId="7410EB51" w14:textId="77777777" w:rsidR="00E96491" w:rsidRPr="008F5B2C" w:rsidRDefault="00E96491" w:rsidP="000403C1">
            <w:pPr>
              <w:pStyle w:val="TableParagraph"/>
              <w:rPr>
                <w:rFonts w:ascii="Arial" w:hAnsi="Arial" w:cs="Arial"/>
                <w:sz w:val="22"/>
              </w:rPr>
            </w:pPr>
            <w:r>
              <w:rPr>
                <w:rFonts w:ascii="Arial" w:hAnsi="Arial" w:cs="Arial"/>
                <w:sz w:val="22"/>
              </w:rPr>
              <w:t>From June 2019</w:t>
            </w:r>
          </w:p>
        </w:tc>
        <w:tc>
          <w:tcPr>
            <w:tcW w:w="2131" w:type="dxa"/>
          </w:tcPr>
          <w:p w14:paraId="482077C4" w14:textId="77777777" w:rsidR="00E96491" w:rsidRPr="008F5B2C" w:rsidRDefault="00E96491" w:rsidP="000403C1">
            <w:pPr>
              <w:pStyle w:val="TableParagraph"/>
              <w:rPr>
                <w:rFonts w:ascii="Arial" w:hAnsi="Arial" w:cs="Arial"/>
                <w:sz w:val="22"/>
              </w:rPr>
            </w:pPr>
            <w:r w:rsidRPr="008F5B2C">
              <w:rPr>
                <w:rFonts w:ascii="Arial" w:hAnsi="Arial" w:cs="Arial"/>
                <w:sz w:val="22"/>
              </w:rPr>
              <w:t>Executive Director, People Branch</w:t>
            </w:r>
          </w:p>
        </w:tc>
      </w:tr>
      <w:tr w:rsidR="00E96491" w:rsidRPr="008F5B2C" w14:paraId="60B8F19B" w14:textId="77777777" w:rsidTr="009A1C4A">
        <w:trPr>
          <w:cantSplit/>
          <w:trHeight w:val="912"/>
        </w:trPr>
        <w:tc>
          <w:tcPr>
            <w:tcW w:w="2511" w:type="dxa"/>
            <w:vMerge/>
          </w:tcPr>
          <w:p w14:paraId="1F30E74F" w14:textId="77777777" w:rsidR="00E96491" w:rsidRPr="008F5B2C" w:rsidRDefault="00E96491" w:rsidP="00E96491">
            <w:pPr>
              <w:pStyle w:val="TableParagraph"/>
              <w:numPr>
                <w:ilvl w:val="0"/>
                <w:numId w:val="9"/>
              </w:numPr>
              <w:ind w:left="454" w:hanging="425"/>
              <w:rPr>
                <w:rFonts w:ascii="Arial" w:hAnsi="Arial" w:cs="Arial"/>
                <w:sz w:val="22"/>
              </w:rPr>
            </w:pPr>
          </w:p>
        </w:tc>
        <w:tc>
          <w:tcPr>
            <w:tcW w:w="3580" w:type="dxa"/>
          </w:tcPr>
          <w:p w14:paraId="32268E5A" w14:textId="77777777" w:rsidR="00E96491" w:rsidRPr="008F5B2C" w:rsidRDefault="00E96491" w:rsidP="00E96491">
            <w:pPr>
              <w:pStyle w:val="TableParagraph"/>
              <w:numPr>
                <w:ilvl w:val="0"/>
                <w:numId w:val="16"/>
              </w:numPr>
              <w:ind w:left="456" w:hanging="425"/>
              <w:rPr>
                <w:rFonts w:ascii="Arial" w:hAnsi="Arial" w:cs="Arial"/>
                <w:sz w:val="22"/>
              </w:rPr>
            </w:pPr>
            <w:r w:rsidRPr="0010392C">
              <w:rPr>
                <w:rFonts w:ascii="Arial" w:hAnsi="Arial" w:cs="Arial"/>
                <w:sz w:val="22"/>
              </w:rPr>
              <w:t xml:space="preserve">Through the </w:t>
            </w:r>
            <w:r>
              <w:rPr>
                <w:rFonts w:ascii="Arial" w:hAnsi="Arial" w:cs="Arial"/>
                <w:sz w:val="22"/>
              </w:rPr>
              <w:t xml:space="preserve">Manager Academy </w:t>
            </w:r>
            <w:r w:rsidRPr="0010392C">
              <w:rPr>
                <w:rFonts w:ascii="Arial" w:hAnsi="Arial" w:cs="Arial"/>
                <w:sz w:val="22"/>
              </w:rPr>
              <w:t>statement of expectations, managers understand for themselves and their staff</w:t>
            </w:r>
            <w:r>
              <w:rPr>
                <w:rFonts w:ascii="Arial" w:hAnsi="Arial" w:cs="Arial"/>
                <w:sz w:val="22"/>
              </w:rPr>
              <w:t>,</w:t>
            </w:r>
            <w:r w:rsidRPr="0010392C">
              <w:rPr>
                <w:rFonts w:ascii="Arial" w:hAnsi="Arial" w:cs="Arial"/>
                <w:sz w:val="22"/>
              </w:rPr>
              <w:t xml:space="preserve"> expectations around out-of-hours work, use of TOIL, prioritising tasks and the use of flexible work arrangements.</w:t>
            </w:r>
          </w:p>
        </w:tc>
        <w:tc>
          <w:tcPr>
            <w:tcW w:w="1417" w:type="dxa"/>
          </w:tcPr>
          <w:p w14:paraId="0C2FE592" w14:textId="77777777" w:rsidR="00E96491" w:rsidRPr="008F5B2C" w:rsidRDefault="00E96491" w:rsidP="000403C1">
            <w:pPr>
              <w:pStyle w:val="TableParagraph"/>
              <w:rPr>
                <w:rFonts w:ascii="Arial" w:hAnsi="Arial" w:cs="Arial"/>
                <w:sz w:val="22"/>
              </w:rPr>
            </w:pPr>
            <w:r>
              <w:rPr>
                <w:rFonts w:ascii="Arial" w:hAnsi="Arial" w:cs="Arial"/>
                <w:sz w:val="22"/>
              </w:rPr>
              <w:t>December 2018</w:t>
            </w:r>
          </w:p>
        </w:tc>
        <w:tc>
          <w:tcPr>
            <w:tcW w:w="2131" w:type="dxa"/>
          </w:tcPr>
          <w:p w14:paraId="2486C178" w14:textId="77777777" w:rsidR="00E96491" w:rsidRPr="008F5B2C" w:rsidRDefault="00E96491" w:rsidP="000403C1">
            <w:pPr>
              <w:pStyle w:val="TableParagraph"/>
              <w:rPr>
                <w:rFonts w:ascii="Arial" w:eastAsia="Times New Roman" w:hAnsi="Arial" w:cs="Arial"/>
                <w:color w:val="000000" w:themeColor="text1"/>
                <w:sz w:val="22"/>
                <w:lang w:val="en-AU"/>
              </w:rPr>
            </w:pPr>
            <w:r>
              <w:rPr>
                <w:rFonts w:ascii="Arial" w:eastAsia="Times New Roman" w:hAnsi="Arial" w:cs="Arial"/>
                <w:color w:val="000000" w:themeColor="text1"/>
                <w:sz w:val="22"/>
                <w:lang w:val="en-AU"/>
              </w:rPr>
              <w:t>All SES</w:t>
            </w:r>
          </w:p>
        </w:tc>
      </w:tr>
      <w:tr w:rsidR="00E96491" w:rsidRPr="008F5B2C" w14:paraId="00A3A364" w14:textId="77777777" w:rsidTr="009A1C4A">
        <w:trPr>
          <w:cantSplit/>
        </w:trPr>
        <w:tc>
          <w:tcPr>
            <w:tcW w:w="2511" w:type="dxa"/>
          </w:tcPr>
          <w:p w14:paraId="3219BF6B" w14:textId="77777777" w:rsidR="00E96491" w:rsidRPr="008F5B2C" w:rsidRDefault="00E96491" w:rsidP="00E96491">
            <w:pPr>
              <w:pStyle w:val="TableParagraph"/>
              <w:numPr>
                <w:ilvl w:val="0"/>
                <w:numId w:val="9"/>
              </w:numPr>
              <w:ind w:left="454" w:hanging="425"/>
              <w:rPr>
                <w:rFonts w:ascii="Arial" w:hAnsi="Arial" w:cs="Arial"/>
                <w:sz w:val="22"/>
              </w:rPr>
            </w:pPr>
            <w:r w:rsidRPr="008F5B2C">
              <w:rPr>
                <w:rFonts w:ascii="Arial" w:hAnsi="Arial" w:cs="Arial"/>
                <w:sz w:val="22"/>
              </w:rPr>
              <w:t xml:space="preserve">EL and SES support gender balance at internal and external </w:t>
            </w:r>
            <w:r>
              <w:rPr>
                <w:rFonts w:ascii="Arial" w:hAnsi="Arial" w:cs="Arial"/>
                <w:sz w:val="22"/>
              </w:rPr>
              <w:t xml:space="preserve">speaking </w:t>
            </w:r>
            <w:r w:rsidRPr="008F5B2C">
              <w:rPr>
                <w:rFonts w:ascii="Arial" w:hAnsi="Arial" w:cs="Arial"/>
                <w:sz w:val="22"/>
              </w:rPr>
              <w:t>panels, forums, committees and events by committing to the 'panel pledge'*.</w:t>
            </w:r>
          </w:p>
        </w:tc>
        <w:tc>
          <w:tcPr>
            <w:tcW w:w="3580" w:type="dxa"/>
          </w:tcPr>
          <w:p w14:paraId="20D14C3B" w14:textId="77777777" w:rsidR="00E96491" w:rsidRPr="008F5B2C" w:rsidRDefault="00E96491" w:rsidP="00E96491">
            <w:pPr>
              <w:pStyle w:val="TableParagraph"/>
              <w:numPr>
                <w:ilvl w:val="0"/>
                <w:numId w:val="21"/>
              </w:numPr>
              <w:ind w:left="430"/>
              <w:rPr>
                <w:rFonts w:ascii="Arial" w:hAnsi="Arial" w:cs="Arial"/>
                <w:sz w:val="22"/>
              </w:rPr>
            </w:pPr>
            <w:r w:rsidRPr="008F5B2C">
              <w:rPr>
                <w:rFonts w:ascii="Arial" w:hAnsi="Arial" w:cs="Arial"/>
                <w:sz w:val="22"/>
              </w:rPr>
              <w:t xml:space="preserve">EL and SES choose to commit to the ‘panel pledge’ in their performance agreements. They will take steps to ensure </w:t>
            </w:r>
            <w:r w:rsidRPr="00663116">
              <w:rPr>
                <w:rFonts w:ascii="Arial" w:hAnsi="Arial" w:cs="Arial"/>
                <w:sz w:val="22"/>
              </w:rPr>
              <w:t>broa</w:t>
            </w:r>
            <w:r>
              <w:rPr>
                <w:rFonts w:ascii="Arial" w:hAnsi="Arial" w:cs="Arial"/>
                <w:sz w:val="22"/>
              </w:rPr>
              <w:t>dly equal gender representation</w:t>
            </w:r>
            <w:r w:rsidRPr="00663116">
              <w:rPr>
                <w:rFonts w:ascii="Arial" w:hAnsi="Arial" w:cs="Arial"/>
                <w:sz w:val="22"/>
              </w:rPr>
              <w:t xml:space="preserve"> </w:t>
            </w:r>
            <w:r w:rsidRPr="008F5B2C">
              <w:rPr>
                <w:rFonts w:ascii="Arial" w:hAnsi="Arial" w:cs="Arial"/>
                <w:sz w:val="22"/>
              </w:rPr>
              <w:t xml:space="preserve">at internal and external panels, forums, committees and events </w:t>
            </w:r>
            <w:r>
              <w:rPr>
                <w:rFonts w:ascii="Arial" w:hAnsi="Arial" w:cs="Arial"/>
                <w:sz w:val="22"/>
              </w:rPr>
              <w:t>in which they are involved.</w:t>
            </w:r>
            <w:r w:rsidRPr="008F5B2C">
              <w:rPr>
                <w:rFonts w:ascii="Arial" w:hAnsi="Arial" w:cs="Arial"/>
                <w:sz w:val="22"/>
              </w:rPr>
              <w:t xml:space="preserve"> This includes requesting confirmation of how gender balance will be achieved on a panel and making their participation conditional on meaningful participation by women.</w:t>
            </w:r>
          </w:p>
        </w:tc>
        <w:tc>
          <w:tcPr>
            <w:tcW w:w="1417" w:type="dxa"/>
          </w:tcPr>
          <w:p w14:paraId="18663D8A" w14:textId="77777777" w:rsidR="00E96491" w:rsidRPr="008F5B2C" w:rsidRDefault="00E96491" w:rsidP="000403C1">
            <w:pPr>
              <w:pStyle w:val="TableParagraph"/>
              <w:rPr>
                <w:rFonts w:ascii="Arial" w:hAnsi="Arial" w:cs="Arial"/>
                <w:sz w:val="22"/>
              </w:rPr>
            </w:pPr>
            <w:r w:rsidRPr="008F5B2C">
              <w:rPr>
                <w:rFonts w:ascii="Arial" w:hAnsi="Arial" w:cs="Arial"/>
                <w:sz w:val="22"/>
              </w:rPr>
              <w:t>Ongoing</w:t>
            </w:r>
          </w:p>
        </w:tc>
        <w:tc>
          <w:tcPr>
            <w:tcW w:w="2131" w:type="dxa"/>
          </w:tcPr>
          <w:p w14:paraId="2553A343" w14:textId="77777777" w:rsidR="00E96491" w:rsidRPr="008F5B2C" w:rsidRDefault="00E96491" w:rsidP="000403C1">
            <w:pPr>
              <w:pStyle w:val="TableParagraph"/>
              <w:rPr>
                <w:rFonts w:ascii="Arial" w:hAnsi="Arial" w:cs="Arial"/>
                <w:sz w:val="22"/>
              </w:rPr>
            </w:pPr>
            <w:r w:rsidRPr="008F5B2C">
              <w:rPr>
                <w:rFonts w:ascii="Arial" w:hAnsi="Arial" w:cs="Arial"/>
                <w:sz w:val="22"/>
              </w:rPr>
              <w:t>All EL and SES</w:t>
            </w:r>
          </w:p>
          <w:p w14:paraId="14AB09CC" w14:textId="77777777" w:rsidR="00E96491" w:rsidRPr="008F5B2C" w:rsidRDefault="00E96491" w:rsidP="000403C1">
            <w:pPr>
              <w:pStyle w:val="TableParagraph"/>
              <w:rPr>
                <w:rFonts w:ascii="Arial" w:hAnsi="Arial" w:cs="Arial"/>
                <w:sz w:val="22"/>
              </w:rPr>
            </w:pPr>
          </w:p>
        </w:tc>
      </w:tr>
    </w:tbl>
    <w:p w14:paraId="20BFE35C" w14:textId="77777777" w:rsidR="00E96491" w:rsidRPr="008F5B2C" w:rsidRDefault="00E96491" w:rsidP="00E96491">
      <w:pPr>
        <w:rPr>
          <w:rFonts w:ascii="Arial" w:hAnsi="Arial"/>
        </w:rPr>
      </w:pPr>
      <w:r w:rsidRPr="008F5B2C">
        <w:rPr>
          <w:rFonts w:ascii="Arial" w:hAnsi="Arial"/>
        </w:rPr>
        <w:t xml:space="preserve">* </w:t>
      </w:r>
      <w:r w:rsidRPr="008F5B2C">
        <w:rPr>
          <w:rFonts w:ascii="Arial" w:hAnsi="Arial"/>
          <w:color w:val="000000" w:themeColor="text1"/>
          <w:sz w:val="16"/>
          <w:szCs w:val="16"/>
        </w:rPr>
        <w:t xml:space="preserve">For further information see </w:t>
      </w:r>
      <w:hyperlink r:id="rId15" w:history="1">
        <w:r w:rsidRPr="008F5B2C">
          <w:rPr>
            <w:rStyle w:val="Hyperlink"/>
            <w:rFonts w:eastAsiaTheme="minorEastAsia" w:cs="Arial"/>
            <w:sz w:val="16"/>
            <w:szCs w:val="16"/>
          </w:rPr>
          <w:t>Male Champions of Change – Gender balance at every forum</w:t>
        </w:r>
      </w:hyperlink>
    </w:p>
    <w:p w14:paraId="7C820474" w14:textId="77777777" w:rsidR="00E96491" w:rsidRPr="005469D4" w:rsidRDefault="00E96491" w:rsidP="009A1C4A">
      <w:pPr>
        <w:pStyle w:val="Heading3"/>
        <w:rPr>
          <w:rFonts w:ascii="Arial" w:hAnsi="Arial" w:cs="Arial"/>
          <w:sz w:val="26"/>
          <w:szCs w:val="26"/>
        </w:rPr>
      </w:pPr>
      <w:r>
        <w:rPr>
          <w:rFonts w:ascii="Arial" w:hAnsi="Arial" w:cs="Arial"/>
          <w:sz w:val="26"/>
          <w:szCs w:val="26"/>
        </w:rPr>
        <w:br w:type="page"/>
      </w:r>
      <w:r w:rsidRPr="009A1C4A">
        <w:lastRenderedPageBreak/>
        <w:t>Increase the take-up of flexibility arrangements amongst all employees</w:t>
      </w:r>
    </w:p>
    <w:p w14:paraId="340A808F" w14:textId="3731C3A5" w:rsidR="00E96491" w:rsidRPr="009A1C4A" w:rsidRDefault="00E96491" w:rsidP="009A1C4A">
      <w:pPr>
        <w:pStyle w:val="Heading4"/>
      </w:pPr>
      <w:r w:rsidRPr="008F5B2C">
        <w:t xml:space="preserve">We will achieve 90% positive responses to relevant workplace conditions questions in </w:t>
      </w:r>
      <w:r>
        <w:t xml:space="preserve">the </w:t>
      </w:r>
      <w:r w:rsidRPr="008F5B2C">
        <w:t>202</w:t>
      </w:r>
      <w:r>
        <w:t>1</w:t>
      </w:r>
      <w:r w:rsidRPr="008F5B2C">
        <w:t xml:space="preserve"> APS Employee Census, and </w:t>
      </w:r>
      <w:r>
        <w:t>by 31 December 2021 there will be an increase of 10%</w:t>
      </w:r>
      <w:r w:rsidRPr="008F5B2C">
        <w:t xml:space="preserve"> of staff regularly access</w:t>
      </w:r>
      <w:r>
        <w:t>ing</w:t>
      </w:r>
      <w:r w:rsidRPr="008F5B2C">
        <w:t xml:space="preserve"> flexible work arrangements, with a significant increase in usage by men.</w:t>
      </w:r>
    </w:p>
    <w:tbl>
      <w:tblPr>
        <w:tblStyle w:val="TableGrid"/>
        <w:tblW w:w="9639" w:type="dxa"/>
        <w:tblLayout w:type="fixed"/>
        <w:tblLook w:val="04A0" w:firstRow="1" w:lastRow="0" w:firstColumn="1" w:lastColumn="0" w:noHBand="0" w:noVBand="1"/>
        <w:tblCaption w:val="Relationships Action Table"/>
        <w:tblDescription w:val="Relationships Action Table"/>
      </w:tblPr>
      <w:tblGrid>
        <w:gridCol w:w="2565"/>
        <w:gridCol w:w="3374"/>
        <w:gridCol w:w="1446"/>
        <w:gridCol w:w="2254"/>
      </w:tblGrid>
      <w:tr w:rsidR="00E96491" w:rsidRPr="008F5B2C" w14:paraId="79F00D6B" w14:textId="77777777" w:rsidTr="00DE51CF">
        <w:trPr>
          <w:cantSplit/>
          <w:tblHeader/>
        </w:trPr>
        <w:tc>
          <w:tcPr>
            <w:tcW w:w="2263" w:type="dxa"/>
            <w:shd w:val="clear" w:color="auto" w:fill="auto"/>
            <w:hideMark/>
          </w:tcPr>
          <w:p w14:paraId="11F2B9EE" w14:textId="77777777" w:rsidR="00E96491" w:rsidRPr="008F5B2C" w:rsidRDefault="00E96491" w:rsidP="000403C1">
            <w:pPr>
              <w:pStyle w:val="TableParagraph"/>
              <w:rPr>
                <w:rFonts w:ascii="Arial" w:hAnsi="Arial" w:cs="Arial"/>
                <w:color w:val="000000" w:themeColor="text1"/>
              </w:rPr>
            </w:pPr>
            <w:r w:rsidRPr="008F5B2C">
              <w:rPr>
                <w:rFonts w:ascii="Arial" w:hAnsi="Arial" w:cs="Arial"/>
                <w:b/>
                <w:color w:val="000000" w:themeColor="text1"/>
              </w:rPr>
              <w:t>Actions</w:t>
            </w:r>
          </w:p>
        </w:tc>
        <w:tc>
          <w:tcPr>
            <w:tcW w:w="2977" w:type="dxa"/>
            <w:shd w:val="clear" w:color="auto" w:fill="auto"/>
            <w:hideMark/>
          </w:tcPr>
          <w:p w14:paraId="27D399FB" w14:textId="77777777" w:rsidR="00E96491" w:rsidRPr="008F5B2C" w:rsidRDefault="00E96491" w:rsidP="000403C1">
            <w:pPr>
              <w:pStyle w:val="TableParagraph"/>
              <w:rPr>
                <w:rFonts w:ascii="Arial" w:hAnsi="Arial" w:cs="Arial"/>
                <w:color w:val="000000" w:themeColor="text1"/>
              </w:rPr>
            </w:pPr>
            <w:r w:rsidRPr="008F5B2C">
              <w:rPr>
                <w:rFonts w:ascii="Arial" w:hAnsi="Arial" w:cs="Arial"/>
                <w:b/>
                <w:color w:val="000000" w:themeColor="text1"/>
              </w:rPr>
              <w:t>Deliverables</w:t>
            </w:r>
          </w:p>
        </w:tc>
        <w:tc>
          <w:tcPr>
            <w:tcW w:w="1276" w:type="dxa"/>
            <w:shd w:val="clear" w:color="auto" w:fill="auto"/>
          </w:tcPr>
          <w:p w14:paraId="7BC706B3" w14:textId="77777777" w:rsidR="00E96491" w:rsidRPr="008F5B2C" w:rsidRDefault="00E96491" w:rsidP="000403C1">
            <w:pPr>
              <w:pStyle w:val="TableParagraph"/>
              <w:rPr>
                <w:rFonts w:ascii="Arial" w:hAnsi="Arial" w:cs="Arial"/>
                <w:b/>
                <w:color w:val="000000" w:themeColor="text1"/>
              </w:rPr>
            </w:pPr>
            <w:r w:rsidRPr="008F5B2C">
              <w:rPr>
                <w:rFonts w:ascii="Arial" w:hAnsi="Arial" w:cs="Arial"/>
                <w:b/>
                <w:color w:val="000000" w:themeColor="text1"/>
              </w:rPr>
              <w:t>Timeline</w:t>
            </w:r>
          </w:p>
        </w:tc>
        <w:tc>
          <w:tcPr>
            <w:tcW w:w="1989" w:type="dxa"/>
            <w:shd w:val="clear" w:color="auto" w:fill="auto"/>
          </w:tcPr>
          <w:p w14:paraId="1D58FD09" w14:textId="77777777" w:rsidR="00E96491" w:rsidRPr="008F5B2C" w:rsidRDefault="00E96491" w:rsidP="000403C1">
            <w:pPr>
              <w:pStyle w:val="TableParagraph"/>
              <w:rPr>
                <w:rFonts w:ascii="Arial" w:hAnsi="Arial" w:cs="Arial"/>
                <w:b/>
                <w:color w:val="000000" w:themeColor="text1"/>
              </w:rPr>
            </w:pPr>
            <w:r w:rsidRPr="008F5B2C">
              <w:rPr>
                <w:rFonts w:ascii="Arial" w:hAnsi="Arial" w:cs="Arial"/>
                <w:b/>
                <w:color w:val="000000" w:themeColor="text1"/>
              </w:rPr>
              <w:t>Responsibility</w:t>
            </w:r>
          </w:p>
        </w:tc>
      </w:tr>
      <w:tr w:rsidR="00E96491" w:rsidRPr="008F5B2C" w14:paraId="1CB3E0FF" w14:textId="77777777" w:rsidTr="00DE51CF">
        <w:trPr>
          <w:cantSplit/>
          <w:trHeight w:val="1323"/>
        </w:trPr>
        <w:tc>
          <w:tcPr>
            <w:tcW w:w="2263" w:type="dxa"/>
          </w:tcPr>
          <w:p w14:paraId="093FC932" w14:textId="77777777" w:rsidR="00E96491" w:rsidRPr="008F5B2C" w:rsidRDefault="00E96491" w:rsidP="00E96491">
            <w:pPr>
              <w:pStyle w:val="TableParagraph"/>
              <w:numPr>
                <w:ilvl w:val="0"/>
                <w:numId w:val="9"/>
              </w:numPr>
              <w:ind w:left="454" w:hanging="425"/>
              <w:rPr>
                <w:rFonts w:ascii="Arial" w:hAnsi="Arial" w:cs="Arial"/>
                <w:sz w:val="22"/>
              </w:rPr>
            </w:pPr>
            <w:r w:rsidRPr="008F5B2C">
              <w:rPr>
                <w:rFonts w:ascii="Arial" w:hAnsi="Arial" w:cs="Arial"/>
                <w:sz w:val="22"/>
              </w:rPr>
              <w:t xml:space="preserve">Overcome technological </w:t>
            </w:r>
            <w:r w:rsidRPr="00473C10">
              <w:rPr>
                <w:rFonts w:ascii="Arial" w:hAnsi="Arial" w:cs="Arial"/>
                <w:sz w:val="22"/>
              </w:rPr>
              <w:t>barriers</w:t>
            </w:r>
            <w:r w:rsidRPr="008F5B2C">
              <w:rPr>
                <w:rFonts w:ascii="Arial" w:hAnsi="Arial" w:cs="Arial"/>
                <w:sz w:val="22"/>
              </w:rPr>
              <w:t xml:space="preserve"> to the take-up of flexible work arrangements</w:t>
            </w:r>
          </w:p>
        </w:tc>
        <w:tc>
          <w:tcPr>
            <w:tcW w:w="2977" w:type="dxa"/>
          </w:tcPr>
          <w:p w14:paraId="6F16386F" w14:textId="77777777" w:rsidR="00E96491" w:rsidRPr="00473C10" w:rsidRDefault="00E96491" w:rsidP="00E96491">
            <w:pPr>
              <w:pStyle w:val="TableParagraph"/>
              <w:numPr>
                <w:ilvl w:val="0"/>
                <w:numId w:val="17"/>
              </w:numPr>
              <w:ind w:left="488" w:hanging="424"/>
              <w:rPr>
                <w:rFonts w:ascii="Arial" w:hAnsi="Arial" w:cs="Arial"/>
                <w:sz w:val="22"/>
              </w:rPr>
            </w:pPr>
            <w:r w:rsidRPr="00473C10">
              <w:rPr>
                <w:rFonts w:ascii="Arial" w:hAnsi="Arial" w:cs="Arial"/>
                <w:sz w:val="22"/>
              </w:rPr>
              <w:t>Opportunities are identified to raise awareness of existing technology and overcome real or perceived barriers to successful off-site work.</w:t>
            </w:r>
          </w:p>
          <w:p w14:paraId="42800025" w14:textId="77777777" w:rsidR="00E96491" w:rsidRPr="008F5B2C" w:rsidRDefault="00E96491" w:rsidP="000403C1">
            <w:pPr>
              <w:pStyle w:val="TableParagraph"/>
              <w:rPr>
                <w:rFonts w:ascii="Arial" w:hAnsi="Arial" w:cs="Arial"/>
                <w:sz w:val="22"/>
              </w:rPr>
            </w:pPr>
          </w:p>
        </w:tc>
        <w:tc>
          <w:tcPr>
            <w:tcW w:w="1276" w:type="dxa"/>
          </w:tcPr>
          <w:p w14:paraId="4392752A" w14:textId="77777777" w:rsidR="00E96491" w:rsidRPr="008F5B2C" w:rsidRDefault="00E96491" w:rsidP="000403C1">
            <w:pPr>
              <w:pStyle w:val="TableParagraph"/>
              <w:rPr>
                <w:rFonts w:ascii="Arial" w:hAnsi="Arial" w:cs="Arial"/>
                <w:sz w:val="22"/>
              </w:rPr>
            </w:pPr>
            <w:r w:rsidRPr="008F5B2C">
              <w:rPr>
                <w:rFonts w:ascii="Arial" w:hAnsi="Arial" w:cs="Arial"/>
                <w:sz w:val="22"/>
              </w:rPr>
              <w:t>By December 2018</w:t>
            </w:r>
          </w:p>
        </w:tc>
        <w:tc>
          <w:tcPr>
            <w:tcW w:w="1989" w:type="dxa"/>
          </w:tcPr>
          <w:p w14:paraId="64A5B169" w14:textId="77777777" w:rsidR="00E96491" w:rsidRPr="008F5B2C" w:rsidRDefault="00E96491" w:rsidP="000403C1">
            <w:pPr>
              <w:pStyle w:val="TableParagraph"/>
              <w:rPr>
                <w:rFonts w:ascii="Arial" w:hAnsi="Arial" w:cs="Arial"/>
                <w:sz w:val="22"/>
              </w:rPr>
            </w:pPr>
            <w:r w:rsidRPr="008F5B2C">
              <w:rPr>
                <w:rFonts w:ascii="Arial" w:hAnsi="Arial" w:cs="Arial"/>
                <w:sz w:val="22"/>
              </w:rPr>
              <w:t>Executive Director, People Branch</w:t>
            </w:r>
          </w:p>
          <w:p w14:paraId="4393EB3A" w14:textId="77777777" w:rsidR="00E96491" w:rsidRPr="008F5B2C" w:rsidRDefault="00E96491" w:rsidP="000403C1">
            <w:pPr>
              <w:pStyle w:val="TableParagraph"/>
              <w:rPr>
                <w:rFonts w:ascii="Arial" w:hAnsi="Arial" w:cs="Arial"/>
                <w:sz w:val="22"/>
              </w:rPr>
            </w:pPr>
            <w:r w:rsidRPr="008F5B2C">
              <w:rPr>
                <w:rFonts w:ascii="Arial" w:hAnsi="Arial" w:cs="Arial"/>
                <w:sz w:val="22"/>
              </w:rPr>
              <w:t>Executive Director, Technology &amp; Innovation</w:t>
            </w:r>
          </w:p>
        </w:tc>
      </w:tr>
      <w:tr w:rsidR="00E96491" w:rsidRPr="008F5B2C" w14:paraId="5988DF1A" w14:textId="77777777" w:rsidTr="00DE51CF">
        <w:trPr>
          <w:cantSplit/>
          <w:trHeight w:val="1323"/>
        </w:trPr>
        <w:tc>
          <w:tcPr>
            <w:tcW w:w="2263" w:type="dxa"/>
            <w:vMerge w:val="restart"/>
            <w:hideMark/>
          </w:tcPr>
          <w:p w14:paraId="3BCB50B5" w14:textId="77777777" w:rsidR="00E96491" w:rsidRPr="008F5B2C" w:rsidRDefault="00E96491" w:rsidP="00E96491">
            <w:pPr>
              <w:pStyle w:val="TableParagraph"/>
              <w:numPr>
                <w:ilvl w:val="0"/>
                <w:numId w:val="9"/>
              </w:numPr>
              <w:ind w:left="454" w:hanging="425"/>
              <w:rPr>
                <w:rFonts w:ascii="Arial" w:hAnsi="Arial" w:cs="Arial"/>
                <w:sz w:val="22"/>
              </w:rPr>
            </w:pPr>
            <w:r>
              <w:rPr>
                <w:rFonts w:ascii="Arial" w:hAnsi="Arial" w:cs="Arial"/>
                <w:sz w:val="22"/>
              </w:rPr>
              <w:t>Flexible work</w:t>
            </w:r>
            <w:r w:rsidRPr="008F5B2C">
              <w:rPr>
                <w:rFonts w:ascii="Arial" w:hAnsi="Arial" w:cs="Arial"/>
                <w:sz w:val="22"/>
              </w:rPr>
              <w:t xml:space="preserve"> guidelines redesigned to be team-based and gender-inclusive in that they consider the needs of all team members and the achievement of business outcomes.</w:t>
            </w:r>
          </w:p>
          <w:p w14:paraId="01E400D5" w14:textId="77777777" w:rsidR="00E96491" w:rsidRPr="008F5B2C" w:rsidRDefault="00E96491" w:rsidP="000403C1">
            <w:pPr>
              <w:pStyle w:val="TableParagraph"/>
              <w:rPr>
                <w:rFonts w:ascii="Arial" w:hAnsi="Arial" w:cs="Arial"/>
                <w:sz w:val="22"/>
              </w:rPr>
            </w:pPr>
          </w:p>
        </w:tc>
        <w:tc>
          <w:tcPr>
            <w:tcW w:w="2977" w:type="dxa"/>
            <w:hideMark/>
          </w:tcPr>
          <w:p w14:paraId="23008D06" w14:textId="77777777" w:rsidR="00E96491" w:rsidRPr="008F5B2C" w:rsidRDefault="00E96491" w:rsidP="00E96491">
            <w:pPr>
              <w:pStyle w:val="TableParagraph"/>
              <w:numPr>
                <w:ilvl w:val="0"/>
                <w:numId w:val="18"/>
              </w:numPr>
              <w:ind w:left="488" w:hanging="424"/>
              <w:rPr>
                <w:rFonts w:ascii="Arial" w:hAnsi="Arial" w:cs="Arial"/>
                <w:sz w:val="22"/>
              </w:rPr>
            </w:pPr>
            <w:r>
              <w:rPr>
                <w:rFonts w:ascii="Arial" w:hAnsi="Arial" w:cs="Arial"/>
                <w:sz w:val="22"/>
              </w:rPr>
              <w:t xml:space="preserve">Flexible work </w:t>
            </w:r>
            <w:r w:rsidRPr="008F5B2C">
              <w:rPr>
                <w:rFonts w:ascii="Arial" w:hAnsi="Arial" w:cs="Arial"/>
                <w:sz w:val="22"/>
              </w:rPr>
              <w:t>guidelines revised to support conversion of roles to part-time, job redesign and job share, particularly at the EL2 level.</w:t>
            </w:r>
          </w:p>
        </w:tc>
        <w:tc>
          <w:tcPr>
            <w:tcW w:w="1276" w:type="dxa"/>
          </w:tcPr>
          <w:p w14:paraId="672EE803" w14:textId="77777777" w:rsidR="00E96491" w:rsidRPr="008F5B2C" w:rsidRDefault="00E96491" w:rsidP="000403C1">
            <w:pPr>
              <w:pStyle w:val="TableParagraph"/>
              <w:rPr>
                <w:rFonts w:ascii="Arial" w:hAnsi="Arial" w:cs="Arial"/>
                <w:sz w:val="22"/>
              </w:rPr>
            </w:pPr>
            <w:r w:rsidRPr="008F5B2C">
              <w:rPr>
                <w:rFonts w:ascii="Arial" w:hAnsi="Arial" w:cs="Arial"/>
                <w:sz w:val="22"/>
              </w:rPr>
              <w:t>By December 2018</w:t>
            </w:r>
          </w:p>
        </w:tc>
        <w:tc>
          <w:tcPr>
            <w:tcW w:w="1989" w:type="dxa"/>
          </w:tcPr>
          <w:p w14:paraId="0D879ADA" w14:textId="77777777" w:rsidR="00E96491" w:rsidRPr="008F5B2C" w:rsidRDefault="00E96491" w:rsidP="000403C1">
            <w:pPr>
              <w:pStyle w:val="TableParagraph"/>
              <w:rPr>
                <w:rFonts w:ascii="Arial" w:hAnsi="Arial" w:cs="Arial"/>
                <w:sz w:val="22"/>
              </w:rPr>
            </w:pPr>
            <w:r w:rsidRPr="008F5B2C">
              <w:rPr>
                <w:rFonts w:ascii="Arial" w:hAnsi="Arial" w:cs="Arial"/>
                <w:sz w:val="22"/>
              </w:rPr>
              <w:t xml:space="preserve">Executive Director, People Branch supported by all SES </w:t>
            </w:r>
          </w:p>
          <w:p w14:paraId="264C55EB" w14:textId="77777777" w:rsidR="00E96491" w:rsidRPr="008F5B2C" w:rsidRDefault="00E96491" w:rsidP="000403C1">
            <w:pPr>
              <w:pStyle w:val="TableParagraph"/>
              <w:rPr>
                <w:rFonts w:ascii="Arial" w:hAnsi="Arial" w:cs="Arial"/>
                <w:sz w:val="22"/>
              </w:rPr>
            </w:pPr>
          </w:p>
        </w:tc>
      </w:tr>
      <w:tr w:rsidR="00E96491" w:rsidRPr="008F5B2C" w14:paraId="686807C9" w14:textId="77777777" w:rsidTr="00DE51CF">
        <w:trPr>
          <w:cantSplit/>
          <w:trHeight w:val="1189"/>
        </w:trPr>
        <w:tc>
          <w:tcPr>
            <w:tcW w:w="2263" w:type="dxa"/>
            <w:vMerge/>
          </w:tcPr>
          <w:p w14:paraId="72E3D444" w14:textId="77777777" w:rsidR="00E96491" w:rsidRPr="008F5B2C" w:rsidRDefault="00E96491" w:rsidP="000403C1">
            <w:pPr>
              <w:pStyle w:val="TableParagraph"/>
              <w:rPr>
                <w:rFonts w:ascii="Arial" w:hAnsi="Arial" w:cs="Arial"/>
                <w:sz w:val="22"/>
              </w:rPr>
            </w:pPr>
          </w:p>
        </w:tc>
        <w:tc>
          <w:tcPr>
            <w:tcW w:w="2977" w:type="dxa"/>
          </w:tcPr>
          <w:p w14:paraId="29531D28" w14:textId="77777777" w:rsidR="00E96491" w:rsidRPr="008F5B2C" w:rsidRDefault="00E96491" w:rsidP="00E96491">
            <w:pPr>
              <w:pStyle w:val="TableParagraph"/>
              <w:numPr>
                <w:ilvl w:val="0"/>
                <w:numId w:val="18"/>
              </w:numPr>
              <w:ind w:left="488" w:hanging="424"/>
              <w:rPr>
                <w:rFonts w:ascii="Arial" w:hAnsi="Arial" w:cs="Arial"/>
                <w:sz w:val="22"/>
              </w:rPr>
            </w:pPr>
            <w:r w:rsidRPr="008F5B2C">
              <w:rPr>
                <w:rFonts w:ascii="Arial" w:hAnsi="Arial" w:cs="Arial"/>
                <w:sz w:val="22"/>
              </w:rPr>
              <w:t xml:space="preserve">New jobs are designed in </w:t>
            </w:r>
            <w:r>
              <w:rPr>
                <w:rFonts w:ascii="Arial" w:hAnsi="Arial" w:cs="Arial"/>
                <w:sz w:val="22"/>
              </w:rPr>
              <w:t>accordance with flexible work</w:t>
            </w:r>
            <w:r w:rsidRPr="008F5B2C">
              <w:rPr>
                <w:rFonts w:ascii="Arial" w:hAnsi="Arial" w:cs="Arial"/>
                <w:sz w:val="22"/>
              </w:rPr>
              <w:t xml:space="preserve"> guidelines.</w:t>
            </w:r>
          </w:p>
        </w:tc>
        <w:tc>
          <w:tcPr>
            <w:tcW w:w="1276" w:type="dxa"/>
          </w:tcPr>
          <w:p w14:paraId="74924319" w14:textId="77777777" w:rsidR="00E96491" w:rsidRPr="008F5B2C" w:rsidRDefault="00E96491" w:rsidP="000403C1">
            <w:pPr>
              <w:pStyle w:val="TableParagraph"/>
              <w:rPr>
                <w:rFonts w:ascii="Arial" w:hAnsi="Arial" w:cs="Arial"/>
                <w:sz w:val="22"/>
              </w:rPr>
            </w:pPr>
            <w:r w:rsidRPr="008F5B2C">
              <w:rPr>
                <w:rFonts w:ascii="Arial" w:hAnsi="Arial" w:cs="Arial"/>
                <w:sz w:val="22"/>
              </w:rPr>
              <w:t>Ongoing</w:t>
            </w:r>
          </w:p>
        </w:tc>
        <w:tc>
          <w:tcPr>
            <w:tcW w:w="1989" w:type="dxa"/>
          </w:tcPr>
          <w:p w14:paraId="2A24FF6F" w14:textId="77777777" w:rsidR="00E96491" w:rsidRPr="008F5B2C" w:rsidRDefault="00E96491" w:rsidP="000403C1">
            <w:pPr>
              <w:pStyle w:val="TableParagraph"/>
              <w:rPr>
                <w:rFonts w:ascii="Arial" w:hAnsi="Arial" w:cs="Arial"/>
                <w:sz w:val="22"/>
              </w:rPr>
            </w:pPr>
            <w:r w:rsidRPr="008F5B2C">
              <w:rPr>
                <w:rFonts w:ascii="Arial" w:hAnsi="Arial" w:cs="Arial"/>
                <w:sz w:val="22"/>
              </w:rPr>
              <w:t>All EL2, SES supported by People Branch</w:t>
            </w:r>
          </w:p>
        </w:tc>
      </w:tr>
      <w:tr w:rsidR="00E96491" w:rsidRPr="008F5B2C" w14:paraId="701F2A3B" w14:textId="77777777" w:rsidTr="00DE51CF">
        <w:trPr>
          <w:cantSplit/>
        </w:trPr>
        <w:tc>
          <w:tcPr>
            <w:tcW w:w="2263" w:type="dxa"/>
          </w:tcPr>
          <w:p w14:paraId="79FF8847" w14:textId="77777777" w:rsidR="00E96491" w:rsidRPr="008F5B2C" w:rsidRDefault="00E96491" w:rsidP="00E96491">
            <w:pPr>
              <w:pStyle w:val="TableParagraph"/>
              <w:numPr>
                <w:ilvl w:val="0"/>
                <w:numId w:val="9"/>
              </w:numPr>
              <w:ind w:left="454" w:hanging="425"/>
              <w:rPr>
                <w:rFonts w:ascii="Arial" w:hAnsi="Arial" w:cs="Arial"/>
                <w:sz w:val="22"/>
              </w:rPr>
            </w:pPr>
            <w:r w:rsidRPr="008F5B2C">
              <w:rPr>
                <w:rFonts w:ascii="Arial" w:hAnsi="Arial" w:cs="Arial"/>
                <w:sz w:val="22"/>
              </w:rPr>
              <w:t>Increase take-up of flexible working arrangements</w:t>
            </w:r>
            <w:r>
              <w:rPr>
                <w:rFonts w:ascii="Arial" w:hAnsi="Arial" w:cs="Arial"/>
                <w:sz w:val="22"/>
              </w:rPr>
              <w:t>.</w:t>
            </w:r>
          </w:p>
        </w:tc>
        <w:tc>
          <w:tcPr>
            <w:tcW w:w="2977" w:type="dxa"/>
          </w:tcPr>
          <w:p w14:paraId="5B1BF8F6" w14:textId="77777777" w:rsidR="00E96491" w:rsidRDefault="00E96491" w:rsidP="00E96491">
            <w:pPr>
              <w:pStyle w:val="TableParagraph"/>
              <w:numPr>
                <w:ilvl w:val="0"/>
                <w:numId w:val="19"/>
              </w:numPr>
              <w:ind w:left="488" w:hanging="424"/>
              <w:rPr>
                <w:rFonts w:ascii="Arial" w:hAnsi="Arial" w:cs="Arial"/>
                <w:sz w:val="22"/>
              </w:rPr>
            </w:pPr>
            <w:r w:rsidRPr="008F5B2C">
              <w:rPr>
                <w:rFonts w:ascii="Arial" w:hAnsi="Arial" w:cs="Arial"/>
                <w:sz w:val="22"/>
              </w:rPr>
              <w:t>Promote and support the take-up of flexible working arrangements by all staff through formal and informal communication channels</w:t>
            </w:r>
            <w:r>
              <w:rPr>
                <w:rFonts w:ascii="Arial" w:hAnsi="Arial" w:cs="Arial"/>
                <w:sz w:val="22"/>
              </w:rPr>
              <w:t>.</w:t>
            </w:r>
          </w:p>
          <w:p w14:paraId="5B2AE83B" w14:textId="77777777" w:rsidR="00E96491" w:rsidRPr="00661E0E" w:rsidRDefault="00E96491" w:rsidP="00E96491">
            <w:pPr>
              <w:pStyle w:val="TableParagraph"/>
              <w:numPr>
                <w:ilvl w:val="0"/>
                <w:numId w:val="19"/>
              </w:numPr>
              <w:ind w:left="488" w:hanging="424"/>
              <w:rPr>
                <w:rFonts w:ascii="Arial" w:hAnsi="Arial" w:cs="Arial"/>
                <w:sz w:val="22"/>
              </w:rPr>
            </w:pPr>
            <w:r w:rsidRPr="00661E0E">
              <w:rPr>
                <w:rFonts w:ascii="Arial" w:hAnsi="Arial" w:cs="Arial"/>
                <w:sz w:val="22"/>
              </w:rPr>
              <w:t>Improve the ability to capture and report on flexible working arrangements.</w:t>
            </w:r>
          </w:p>
          <w:p w14:paraId="181C0ABC" w14:textId="77777777" w:rsidR="00E96491" w:rsidRPr="00B6560E" w:rsidRDefault="00E96491" w:rsidP="00E96491">
            <w:pPr>
              <w:pStyle w:val="TableParagraph"/>
              <w:numPr>
                <w:ilvl w:val="0"/>
                <w:numId w:val="19"/>
              </w:numPr>
              <w:ind w:left="488" w:hanging="424"/>
              <w:rPr>
                <w:rFonts w:ascii="Arial" w:hAnsi="Arial" w:cs="Arial"/>
                <w:sz w:val="22"/>
              </w:rPr>
            </w:pPr>
            <w:r w:rsidRPr="00B6560E">
              <w:rPr>
                <w:rFonts w:ascii="Arial" w:hAnsi="Arial" w:cs="Arial"/>
                <w:sz w:val="22"/>
              </w:rPr>
              <w:t>A 10% increase in staff regu</w:t>
            </w:r>
            <w:r>
              <w:rPr>
                <w:rFonts w:ascii="Arial" w:hAnsi="Arial" w:cs="Arial"/>
                <w:sz w:val="22"/>
              </w:rPr>
              <w:t xml:space="preserve">larly accessing flexible work </w:t>
            </w:r>
            <w:r w:rsidRPr="00B6560E">
              <w:rPr>
                <w:rFonts w:ascii="Arial" w:hAnsi="Arial" w:cs="Arial"/>
                <w:sz w:val="22"/>
              </w:rPr>
              <w:t>arrangements, with a significant increase in usage by men.</w:t>
            </w:r>
          </w:p>
          <w:p w14:paraId="06D485F9" w14:textId="77777777" w:rsidR="00E96491" w:rsidRPr="008F5B2C" w:rsidRDefault="00E96491" w:rsidP="000403C1">
            <w:pPr>
              <w:pStyle w:val="TableParagraph"/>
              <w:ind w:left="488"/>
              <w:rPr>
                <w:rFonts w:ascii="Arial" w:hAnsi="Arial" w:cs="Arial"/>
                <w:sz w:val="22"/>
              </w:rPr>
            </w:pPr>
          </w:p>
        </w:tc>
        <w:tc>
          <w:tcPr>
            <w:tcW w:w="1276" w:type="dxa"/>
          </w:tcPr>
          <w:p w14:paraId="2224535D" w14:textId="77777777" w:rsidR="00E96491" w:rsidRDefault="00E96491" w:rsidP="000403C1">
            <w:pPr>
              <w:pStyle w:val="TableParagraph"/>
              <w:rPr>
                <w:rFonts w:ascii="Arial" w:hAnsi="Arial" w:cs="Arial"/>
                <w:sz w:val="22"/>
              </w:rPr>
            </w:pPr>
            <w:r w:rsidRPr="008F5B2C">
              <w:rPr>
                <w:rFonts w:ascii="Arial" w:hAnsi="Arial" w:cs="Arial"/>
                <w:sz w:val="22"/>
              </w:rPr>
              <w:t>Ongoing</w:t>
            </w:r>
          </w:p>
          <w:p w14:paraId="669EC936" w14:textId="77777777" w:rsidR="00E96491" w:rsidRDefault="00E96491" w:rsidP="000403C1">
            <w:pPr>
              <w:pStyle w:val="TableParagraph"/>
              <w:rPr>
                <w:rFonts w:ascii="Arial" w:hAnsi="Arial" w:cs="Arial"/>
                <w:sz w:val="22"/>
              </w:rPr>
            </w:pPr>
            <w:r>
              <w:rPr>
                <w:rFonts w:ascii="Arial" w:hAnsi="Arial" w:cs="Arial"/>
                <w:sz w:val="22"/>
              </w:rPr>
              <w:t>By December 2021</w:t>
            </w:r>
          </w:p>
          <w:p w14:paraId="7499FFD2" w14:textId="77777777" w:rsidR="00E96491" w:rsidRPr="008F5B2C" w:rsidRDefault="00E96491" w:rsidP="000403C1">
            <w:pPr>
              <w:pStyle w:val="TableParagraph"/>
              <w:rPr>
                <w:rFonts w:ascii="Arial" w:hAnsi="Arial" w:cs="Arial"/>
                <w:sz w:val="22"/>
              </w:rPr>
            </w:pPr>
          </w:p>
        </w:tc>
        <w:tc>
          <w:tcPr>
            <w:tcW w:w="1989" w:type="dxa"/>
          </w:tcPr>
          <w:p w14:paraId="52F80802" w14:textId="77777777" w:rsidR="00E96491" w:rsidRDefault="00E96491" w:rsidP="000403C1">
            <w:pPr>
              <w:pStyle w:val="TableParagraph"/>
              <w:rPr>
                <w:rFonts w:ascii="Arial" w:hAnsi="Arial" w:cs="Arial"/>
                <w:sz w:val="22"/>
              </w:rPr>
            </w:pPr>
            <w:r w:rsidRPr="008F5B2C">
              <w:rPr>
                <w:rFonts w:ascii="Arial" w:hAnsi="Arial" w:cs="Arial"/>
                <w:sz w:val="22"/>
              </w:rPr>
              <w:t>Executive Director, People Branch and Executive Director, Communications</w:t>
            </w:r>
          </w:p>
          <w:p w14:paraId="10582426" w14:textId="77777777" w:rsidR="00E96491" w:rsidRDefault="00E96491" w:rsidP="000403C1">
            <w:pPr>
              <w:pStyle w:val="TableParagraph"/>
              <w:rPr>
                <w:rFonts w:ascii="Arial" w:hAnsi="Arial" w:cs="Arial"/>
                <w:sz w:val="22"/>
              </w:rPr>
            </w:pPr>
          </w:p>
          <w:p w14:paraId="206F7D1B" w14:textId="77777777" w:rsidR="00E96491" w:rsidRPr="008F5B2C" w:rsidRDefault="00E96491" w:rsidP="000403C1">
            <w:pPr>
              <w:pStyle w:val="TableParagraph"/>
              <w:rPr>
                <w:rFonts w:ascii="Arial" w:hAnsi="Arial" w:cs="Arial"/>
                <w:sz w:val="22"/>
              </w:rPr>
            </w:pPr>
            <w:r>
              <w:rPr>
                <w:rFonts w:ascii="Arial" w:hAnsi="Arial" w:cs="Arial"/>
                <w:sz w:val="22"/>
              </w:rPr>
              <w:t>All SES</w:t>
            </w:r>
          </w:p>
        </w:tc>
      </w:tr>
    </w:tbl>
    <w:p w14:paraId="0DA6D45A" w14:textId="3D2DF06F" w:rsidR="00E96491" w:rsidRPr="009A1C4A" w:rsidRDefault="00E96491" w:rsidP="009A1C4A">
      <w:pPr>
        <w:rPr>
          <w:rFonts w:ascii="Arial" w:hAnsi="Arial"/>
        </w:rPr>
      </w:pPr>
      <w:r w:rsidRPr="008F5B2C">
        <w:rPr>
          <w:rFonts w:ascii="Arial" w:hAnsi="Arial"/>
        </w:rPr>
        <w:br w:type="page"/>
      </w:r>
    </w:p>
    <w:p w14:paraId="542D325F" w14:textId="77777777" w:rsidR="00E96491" w:rsidRPr="008F5B2C" w:rsidRDefault="00E96491" w:rsidP="00E96491">
      <w:pPr>
        <w:pStyle w:val="Heading3"/>
      </w:pPr>
      <w:r w:rsidRPr="008F5B2C">
        <w:lastRenderedPageBreak/>
        <w:t>Incorporate measurement and evaluation of our progress into current reporting and communicate progress to the agency annually</w:t>
      </w:r>
    </w:p>
    <w:p w14:paraId="3F11120C" w14:textId="6C84F05F" w:rsidR="00E96491" w:rsidRPr="009A1C4A" w:rsidRDefault="00E96491" w:rsidP="00E96491">
      <w:pPr>
        <w:rPr>
          <w:rFonts w:eastAsiaTheme="majorEastAsia" w:cs="Helvetica"/>
          <w:b/>
          <w:bCs/>
          <w:color w:val="0094A8"/>
          <w:sz w:val="20"/>
          <w:szCs w:val="20"/>
        </w:rPr>
      </w:pPr>
      <w:r w:rsidRPr="000946A5">
        <w:rPr>
          <w:rFonts w:eastAsiaTheme="majorEastAsia" w:cs="Helvetica"/>
          <w:color w:val="0094A8"/>
          <w:sz w:val="20"/>
          <w:szCs w:val="20"/>
        </w:rPr>
        <w:t>We will report progress against the actions and deliverables of the Gender Equality Action Plan from January 2019, and enhance reporting mechanisms for flexible work arrangements, recruitment and gender by 31 December 2019</w:t>
      </w:r>
      <w:r w:rsidRPr="000946A5">
        <w:rPr>
          <w:rFonts w:eastAsiaTheme="majorEastAsia" w:cs="Helvetica"/>
          <w:b/>
          <w:bCs/>
          <w:color w:val="0094A8"/>
          <w:sz w:val="20"/>
          <w:szCs w:val="20"/>
        </w:rPr>
        <w:t>.</w:t>
      </w:r>
    </w:p>
    <w:tbl>
      <w:tblPr>
        <w:tblStyle w:val="TableGrid"/>
        <w:tblW w:w="9639" w:type="dxa"/>
        <w:tblLook w:val="04A0" w:firstRow="1" w:lastRow="0" w:firstColumn="1" w:lastColumn="0" w:noHBand="0" w:noVBand="1"/>
        <w:tblCaption w:val="Relationships Action Table"/>
        <w:tblDescription w:val="Relationships Action Table"/>
      </w:tblPr>
      <w:tblGrid>
        <w:gridCol w:w="2497"/>
        <w:gridCol w:w="3594"/>
        <w:gridCol w:w="1417"/>
        <w:gridCol w:w="2131"/>
      </w:tblGrid>
      <w:tr w:rsidR="00E96491" w:rsidRPr="008F5B2C" w14:paraId="4D46D2DC" w14:textId="77777777" w:rsidTr="009A1C4A">
        <w:trPr>
          <w:cantSplit/>
          <w:trHeight w:val="176"/>
          <w:tblHeader/>
        </w:trPr>
        <w:tc>
          <w:tcPr>
            <w:tcW w:w="2497" w:type="dxa"/>
            <w:shd w:val="clear" w:color="auto" w:fill="auto"/>
            <w:hideMark/>
          </w:tcPr>
          <w:p w14:paraId="0CEE1B99" w14:textId="77777777" w:rsidR="00E96491" w:rsidRPr="008F5B2C" w:rsidRDefault="00E96491" w:rsidP="000403C1">
            <w:pPr>
              <w:pStyle w:val="TableParagraph"/>
              <w:rPr>
                <w:rFonts w:ascii="Arial" w:hAnsi="Arial" w:cs="Arial"/>
                <w:color w:val="000000" w:themeColor="text1"/>
              </w:rPr>
            </w:pPr>
            <w:r w:rsidRPr="008F5B2C">
              <w:rPr>
                <w:rFonts w:ascii="Arial" w:hAnsi="Arial" w:cs="Arial"/>
                <w:b/>
                <w:color w:val="000000" w:themeColor="text1"/>
              </w:rPr>
              <w:t>Actions</w:t>
            </w:r>
          </w:p>
        </w:tc>
        <w:tc>
          <w:tcPr>
            <w:tcW w:w="3594" w:type="dxa"/>
            <w:shd w:val="clear" w:color="auto" w:fill="auto"/>
            <w:hideMark/>
          </w:tcPr>
          <w:p w14:paraId="25A569C4" w14:textId="77777777" w:rsidR="00E96491" w:rsidRPr="008F5B2C" w:rsidRDefault="00E96491" w:rsidP="000403C1">
            <w:pPr>
              <w:pStyle w:val="TableParagraph"/>
              <w:rPr>
                <w:rFonts w:ascii="Arial" w:hAnsi="Arial" w:cs="Arial"/>
                <w:color w:val="000000" w:themeColor="text1"/>
              </w:rPr>
            </w:pPr>
            <w:r w:rsidRPr="008F5B2C">
              <w:rPr>
                <w:rFonts w:ascii="Arial" w:hAnsi="Arial" w:cs="Arial"/>
                <w:b/>
                <w:color w:val="000000" w:themeColor="text1"/>
              </w:rPr>
              <w:t>Deliverables</w:t>
            </w:r>
          </w:p>
        </w:tc>
        <w:tc>
          <w:tcPr>
            <w:tcW w:w="1417" w:type="dxa"/>
            <w:shd w:val="clear" w:color="auto" w:fill="auto"/>
            <w:hideMark/>
          </w:tcPr>
          <w:p w14:paraId="55D74BFC" w14:textId="77777777" w:rsidR="00E96491" w:rsidRPr="008F5B2C" w:rsidRDefault="00E96491" w:rsidP="000403C1">
            <w:pPr>
              <w:pStyle w:val="TableParagraph"/>
              <w:rPr>
                <w:rFonts w:ascii="Arial" w:hAnsi="Arial" w:cs="Arial"/>
                <w:color w:val="000000" w:themeColor="text1"/>
              </w:rPr>
            </w:pPr>
            <w:r w:rsidRPr="008F5B2C">
              <w:rPr>
                <w:rFonts w:ascii="Arial" w:hAnsi="Arial" w:cs="Arial"/>
                <w:b/>
                <w:color w:val="000000" w:themeColor="text1"/>
              </w:rPr>
              <w:t>Timeline</w:t>
            </w:r>
          </w:p>
        </w:tc>
        <w:tc>
          <w:tcPr>
            <w:tcW w:w="2131" w:type="dxa"/>
            <w:shd w:val="clear" w:color="auto" w:fill="auto"/>
          </w:tcPr>
          <w:p w14:paraId="3F8ADCD6" w14:textId="77777777" w:rsidR="00E96491" w:rsidRPr="008F5B2C" w:rsidRDefault="00E96491" w:rsidP="000403C1">
            <w:pPr>
              <w:pStyle w:val="TableParagraph"/>
              <w:rPr>
                <w:rFonts w:ascii="Arial" w:hAnsi="Arial" w:cs="Arial"/>
                <w:b/>
                <w:color w:val="000000" w:themeColor="text1"/>
              </w:rPr>
            </w:pPr>
            <w:r w:rsidRPr="008F5B2C">
              <w:rPr>
                <w:rFonts w:ascii="Arial" w:hAnsi="Arial" w:cs="Arial"/>
                <w:b/>
                <w:color w:val="000000" w:themeColor="text1"/>
              </w:rPr>
              <w:t>Responsibility</w:t>
            </w:r>
          </w:p>
        </w:tc>
      </w:tr>
      <w:tr w:rsidR="00E96491" w:rsidRPr="008F5B2C" w14:paraId="277B45F5" w14:textId="77777777" w:rsidTr="009A1C4A">
        <w:trPr>
          <w:cantSplit/>
          <w:trHeight w:val="737"/>
        </w:trPr>
        <w:tc>
          <w:tcPr>
            <w:tcW w:w="2497" w:type="dxa"/>
            <w:vMerge w:val="restart"/>
            <w:hideMark/>
          </w:tcPr>
          <w:p w14:paraId="311428F3" w14:textId="77777777" w:rsidR="00E96491" w:rsidRPr="008F5B2C" w:rsidRDefault="00E96491" w:rsidP="00E96491">
            <w:pPr>
              <w:pStyle w:val="TableParagraph"/>
              <w:numPr>
                <w:ilvl w:val="0"/>
                <w:numId w:val="9"/>
              </w:numPr>
              <w:ind w:left="454" w:hanging="425"/>
              <w:rPr>
                <w:rFonts w:ascii="Arial" w:hAnsi="Arial" w:cs="Arial"/>
                <w:sz w:val="22"/>
              </w:rPr>
            </w:pPr>
            <w:r w:rsidRPr="008F5B2C">
              <w:rPr>
                <w:rFonts w:ascii="Arial" w:hAnsi="Arial" w:cs="Arial"/>
                <w:sz w:val="22"/>
              </w:rPr>
              <w:t>Action plan progress evaluated and incorporated into current reporting and new bi-annual report provided to senior leadership.</w:t>
            </w:r>
          </w:p>
        </w:tc>
        <w:tc>
          <w:tcPr>
            <w:tcW w:w="3594" w:type="dxa"/>
            <w:hideMark/>
          </w:tcPr>
          <w:p w14:paraId="6D73C2BF" w14:textId="77777777" w:rsidR="00E96491" w:rsidRPr="00356452" w:rsidRDefault="00E96491" w:rsidP="00E96491">
            <w:pPr>
              <w:pStyle w:val="TableParagraph"/>
              <w:numPr>
                <w:ilvl w:val="0"/>
                <w:numId w:val="20"/>
              </w:numPr>
              <w:ind w:left="469" w:hanging="425"/>
              <w:rPr>
                <w:rFonts w:ascii="Arial" w:hAnsi="Arial" w:cs="Arial"/>
                <w:sz w:val="22"/>
              </w:rPr>
            </w:pPr>
            <w:r w:rsidRPr="00356452">
              <w:rPr>
                <w:rFonts w:ascii="Arial" w:hAnsi="Arial" w:cs="Arial"/>
                <w:sz w:val="22"/>
              </w:rPr>
              <w:t>Data reported to senior leadership</w:t>
            </w:r>
            <w:r>
              <w:rPr>
                <w:rFonts w:ascii="Arial" w:hAnsi="Arial" w:cs="Arial"/>
                <w:sz w:val="22"/>
              </w:rPr>
              <w:t>,</w:t>
            </w:r>
            <w:r w:rsidRPr="00356452">
              <w:rPr>
                <w:rFonts w:ascii="Arial" w:hAnsi="Arial" w:cs="Arial"/>
                <w:sz w:val="22"/>
              </w:rPr>
              <w:t xml:space="preserve"> including to branch level</w:t>
            </w:r>
            <w:r>
              <w:rPr>
                <w:rFonts w:ascii="Arial" w:hAnsi="Arial" w:cs="Arial"/>
                <w:sz w:val="22"/>
              </w:rPr>
              <w:t>,</w:t>
            </w:r>
            <w:r w:rsidRPr="00356452">
              <w:rPr>
                <w:rFonts w:ascii="Arial" w:hAnsi="Arial" w:cs="Arial"/>
                <w:sz w:val="22"/>
              </w:rPr>
              <w:t xml:space="preserve"> biannually.</w:t>
            </w:r>
          </w:p>
        </w:tc>
        <w:tc>
          <w:tcPr>
            <w:tcW w:w="1417" w:type="dxa"/>
            <w:hideMark/>
          </w:tcPr>
          <w:p w14:paraId="0D031CBD" w14:textId="77777777" w:rsidR="00E96491" w:rsidRPr="008F5B2C" w:rsidRDefault="00E96491" w:rsidP="000403C1">
            <w:pPr>
              <w:pStyle w:val="TableParagraph"/>
              <w:rPr>
                <w:rFonts w:ascii="Arial" w:hAnsi="Arial" w:cs="Arial"/>
                <w:sz w:val="22"/>
              </w:rPr>
            </w:pPr>
            <w:r w:rsidRPr="008F5B2C">
              <w:rPr>
                <w:rFonts w:ascii="Arial" w:hAnsi="Arial" w:cs="Arial"/>
                <w:sz w:val="22"/>
              </w:rPr>
              <w:t>Ongoing</w:t>
            </w:r>
          </w:p>
        </w:tc>
        <w:tc>
          <w:tcPr>
            <w:tcW w:w="2131" w:type="dxa"/>
          </w:tcPr>
          <w:p w14:paraId="4B72422C" w14:textId="77777777" w:rsidR="00E96491" w:rsidRPr="008F5B2C" w:rsidRDefault="00E96491" w:rsidP="000403C1">
            <w:pPr>
              <w:pStyle w:val="TableParagraph"/>
              <w:rPr>
                <w:rFonts w:ascii="Arial" w:hAnsi="Arial" w:cs="Arial"/>
                <w:sz w:val="22"/>
              </w:rPr>
            </w:pPr>
            <w:r w:rsidRPr="008F5B2C">
              <w:rPr>
                <w:rFonts w:ascii="Arial" w:hAnsi="Arial" w:cs="Arial"/>
                <w:sz w:val="22"/>
              </w:rPr>
              <w:t>Executive Director, People Branch</w:t>
            </w:r>
          </w:p>
          <w:p w14:paraId="79615EB5" w14:textId="77777777" w:rsidR="00E96491" w:rsidRPr="008F5B2C" w:rsidRDefault="00E96491" w:rsidP="000403C1">
            <w:pPr>
              <w:pStyle w:val="TableParagraph"/>
              <w:rPr>
                <w:rFonts w:ascii="Arial" w:hAnsi="Arial" w:cs="Arial"/>
                <w:sz w:val="22"/>
              </w:rPr>
            </w:pPr>
          </w:p>
        </w:tc>
      </w:tr>
      <w:tr w:rsidR="00E96491" w:rsidRPr="008F5B2C" w14:paraId="3A027C31" w14:textId="77777777" w:rsidTr="009A1C4A">
        <w:trPr>
          <w:cantSplit/>
          <w:trHeight w:val="887"/>
        </w:trPr>
        <w:tc>
          <w:tcPr>
            <w:tcW w:w="2497" w:type="dxa"/>
            <w:vMerge/>
          </w:tcPr>
          <w:p w14:paraId="3F3799C0" w14:textId="77777777" w:rsidR="00E96491" w:rsidRPr="008F5B2C" w:rsidRDefault="00E96491" w:rsidP="000403C1">
            <w:pPr>
              <w:pStyle w:val="TableParagraph"/>
              <w:rPr>
                <w:rFonts w:ascii="Arial" w:hAnsi="Arial" w:cs="Arial"/>
                <w:sz w:val="22"/>
              </w:rPr>
            </w:pPr>
          </w:p>
        </w:tc>
        <w:tc>
          <w:tcPr>
            <w:tcW w:w="3594" w:type="dxa"/>
          </w:tcPr>
          <w:p w14:paraId="53123B1B" w14:textId="77777777" w:rsidR="00E96491" w:rsidRPr="008F5B2C" w:rsidRDefault="00E96491" w:rsidP="00E96491">
            <w:pPr>
              <w:pStyle w:val="TableParagraph"/>
              <w:numPr>
                <w:ilvl w:val="0"/>
                <w:numId w:val="20"/>
              </w:numPr>
              <w:ind w:left="469" w:hanging="425"/>
              <w:rPr>
                <w:rFonts w:ascii="Arial" w:hAnsi="Arial" w:cs="Arial"/>
                <w:sz w:val="22"/>
              </w:rPr>
            </w:pPr>
            <w:r w:rsidRPr="008F5B2C">
              <w:rPr>
                <w:rFonts w:ascii="Arial" w:hAnsi="Arial" w:cs="Arial"/>
                <w:sz w:val="22"/>
              </w:rPr>
              <w:t>Staff made aware of action plan implementation at least annually through intranet articles.</w:t>
            </w:r>
          </w:p>
        </w:tc>
        <w:tc>
          <w:tcPr>
            <w:tcW w:w="1417" w:type="dxa"/>
          </w:tcPr>
          <w:p w14:paraId="7D726B46" w14:textId="77777777" w:rsidR="00E96491" w:rsidRPr="008F5B2C" w:rsidRDefault="00E96491" w:rsidP="000403C1">
            <w:pPr>
              <w:pStyle w:val="TableParagraph"/>
              <w:rPr>
                <w:rFonts w:ascii="Arial" w:hAnsi="Arial" w:cs="Arial"/>
                <w:sz w:val="22"/>
              </w:rPr>
            </w:pPr>
            <w:r w:rsidRPr="008F5B2C">
              <w:rPr>
                <w:rFonts w:ascii="Arial" w:hAnsi="Arial" w:cs="Arial"/>
                <w:sz w:val="22"/>
              </w:rPr>
              <w:t>Ongoing</w:t>
            </w:r>
          </w:p>
        </w:tc>
        <w:tc>
          <w:tcPr>
            <w:tcW w:w="2131" w:type="dxa"/>
          </w:tcPr>
          <w:p w14:paraId="298A4EEC" w14:textId="77777777" w:rsidR="00E96491" w:rsidRPr="008F5B2C" w:rsidRDefault="00E96491" w:rsidP="000403C1">
            <w:pPr>
              <w:pStyle w:val="TableParagraph"/>
              <w:rPr>
                <w:rFonts w:ascii="Arial" w:hAnsi="Arial" w:cs="Arial"/>
                <w:sz w:val="22"/>
              </w:rPr>
            </w:pPr>
            <w:r w:rsidRPr="008F5B2C">
              <w:rPr>
                <w:rFonts w:ascii="Arial" w:hAnsi="Arial" w:cs="Arial"/>
                <w:sz w:val="22"/>
              </w:rPr>
              <w:t>Executive Director, People Branch</w:t>
            </w:r>
          </w:p>
        </w:tc>
      </w:tr>
    </w:tbl>
    <w:p w14:paraId="0C633015" w14:textId="7BAEEEB5" w:rsidR="00E96491" w:rsidRDefault="00E96491" w:rsidP="00E96491">
      <w:pPr>
        <w:rPr>
          <w:rFonts w:ascii="Arial" w:hAnsi="Arial"/>
        </w:rPr>
      </w:pPr>
    </w:p>
    <w:p w14:paraId="543845A8" w14:textId="5A3FD465" w:rsidR="00E96491" w:rsidRPr="00A81333" w:rsidRDefault="00A0465A" w:rsidP="00E96491">
      <w:r>
        <w:rPr>
          <w:rFonts w:ascii="Arial" w:hAnsi="Arial"/>
        </w:rPr>
        <w:t>For more information, please contact the FWO People Branch at hr@fwo.gov.au</w:t>
      </w:r>
    </w:p>
    <w:p w14:paraId="75B82A93" w14:textId="5582EBDD" w:rsidR="006A412C" w:rsidRPr="006A412C" w:rsidRDefault="006A412C" w:rsidP="00E96491">
      <w:pPr>
        <w:pStyle w:val="Header"/>
        <w:rPr>
          <w:lang w:eastAsia="en-AU"/>
        </w:rPr>
      </w:pPr>
    </w:p>
    <w:p w14:paraId="496FD9F9" w14:textId="77777777" w:rsidR="00BF0029" w:rsidRPr="00CF3B06" w:rsidRDefault="00BF0029">
      <w:pPr>
        <w:pStyle w:val="Quote"/>
      </w:pPr>
    </w:p>
    <w:sectPr w:rsidR="00BF0029" w:rsidRPr="00CF3B06" w:rsidSect="00CF3B06">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1276" w:right="992" w:bottom="1440" w:left="1276"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C6544" w14:textId="77777777" w:rsidR="00A73C8E" w:rsidRDefault="00A73C8E" w:rsidP="00AB27F9">
      <w:r>
        <w:separator/>
      </w:r>
    </w:p>
  </w:endnote>
  <w:endnote w:type="continuationSeparator" w:id="0">
    <w:p w14:paraId="13F618A0" w14:textId="77777777" w:rsidR="00A73C8E" w:rsidRDefault="00A73C8E" w:rsidP="00AB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air Work">
    <w:altName w:val="Times New Roman"/>
    <w:panose1 w:val="00000000000000000000"/>
    <w:charset w:val="00"/>
    <w:family w:val="roman"/>
    <w:notTrueType/>
    <w:pitch w:val="variable"/>
    <w:sig w:usb0="00000083" w:usb1="5000204A" w:usb2="00000000" w:usb3="00000000" w:csb0="00000009"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957B4" w14:textId="77777777" w:rsidR="006E34AE" w:rsidRDefault="006E34AE" w:rsidP="00AB27F9">
    <w:r>
      <w:fldChar w:fldCharType="begin"/>
    </w:r>
    <w:r>
      <w:instrText xml:space="preserve">PAGE  </w:instrText>
    </w:r>
    <w:r>
      <w:fldChar w:fldCharType="separate"/>
    </w:r>
    <w:r>
      <w:rPr>
        <w:noProof/>
      </w:rPr>
      <w:t>2</w:t>
    </w:r>
    <w:r>
      <w:fldChar w:fldCharType="end"/>
    </w:r>
  </w:p>
  <w:p w14:paraId="1AF6871C" w14:textId="77777777" w:rsidR="006E34AE" w:rsidRDefault="006E34AE" w:rsidP="00AB27F9"/>
  <w:p w14:paraId="7EA9F42A" w14:textId="77777777" w:rsidR="00AC229B" w:rsidRDefault="00AC229B"/>
  <w:p w14:paraId="5908FBE6" w14:textId="77777777" w:rsidR="00AC229B" w:rsidRDefault="00AC229B"/>
  <w:p w14:paraId="48B47E25" w14:textId="77777777" w:rsidR="00AC229B" w:rsidRDefault="00AC229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28475" w14:textId="10971F21" w:rsidR="00C2298B" w:rsidRPr="0045600E" w:rsidRDefault="00C2298B">
    <w:pPr>
      <w:pStyle w:val="Footer"/>
      <w:jc w:val="right"/>
      <w:rPr>
        <w:color w:val="FFFFFF" w:themeColor="background1"/>
      </w:rPr>
    </w:pPr>
    <w:r w:rsidRPr="0045600E">
      <w:rPr>
        <w:color w:val="FFFFFF" w:themeColor="background1"/>
        <w:sz w:val="18"/>
        <w:szCs w:val="18"/>
      </w:rPr>
      <w:tab/>
    </w:r>
    <w:sdt>
      <w:sdtPr>
        <w:id w:val="-1505813797"/>
        <w:docPartObj>
          <w:docPartGallery w:val="Page Numbers (Bottom of Page)"/>
          <w:docPartUnique/>
        </w:docPartObj>
      </w:sdtPr>
      <w:sdtEndPr>
        <w:rPr>
          <w:noProof/>
          <w:color w:val="FFFFFF" w:themeColor="background1"/>
        </w:rPr>
      </w:sdtEndPr>
      <w:sdtContent>
        <w:r w:rsidRPr="00BF0029">
          <w:rPr>
            <w:sz w:val="20"/>
            <w:szCs w:val="20"/>
          </w:rPr>
          <w:fldChar w:fldCharType="begin"/>
        </w:r>
        <w:r w:rsidRPr="00BF0029">
          <w:rPr>
            <w:sz w:val="20"/>
            <w:szCs w:val="20"/>
          </w:rPr>
          <w:instrText xml:space="preserve"> PAGE   \* MERGEFORMAT </w:instrText>
        </w:r>
        <w:r w:rsidRPr="00BF0029">
          <w:rPr>
            <w:sz w:val="20"/>
            <w:szCs w:val="20"/>
          </w:rPr>
          <w:fldChar w:fldCharType="separate"/>
        </w:r>
        <w:r w:rsidR="008503B5">
          <w:rPr>
            <w:noProof/>
            <w:sz w:val="20"/>
            <w:szCs w:val="20"/>
          </w:rPr>
          <w:t>2</w:t>
        </w:r>
        <w:r w:rsidRPr="00BF0029">
          <w:rPr>
            <w:noProof/>
            <w:sz w:val="20"/>
            <w:szCs w:val="20"/>
          </w:rPr>
          <w:fldChar w:fldCharType="end"/>
        </w:r>
      </w:sdtContent>
    </w:sdt>
  </w:p>
  <w:p w14:paraId="72503F7D" w14:textId="77777777" w:rsidR="00AC229B" w:rsidRDefault="00AC229B" w:rsidP="004B2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93318" w14:textId="77777777" w:rsidR="00F91FDE" w:rsidRDefault="00F91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B6A25" w14:textId="77777777" w:rsidR="00A73C8E" w:rsidRDefault="00A73C8E" w:rsidP="00AB27F9">
      <w:r>
        <w:separator/>
      </w:r>
    </w:p>
  </w:footnote>
  <w:footnote w:type="continuationSeparator" w:id="0">
    <w:p w14:paraId="49942DAF" w14:textId="77777777" w:rsidR="00A73C8E" w:rsidRDefault="00A73C8E" w:rsidP="00AB27F9">
      <w:r>
        <w:continuationSeparator/>
      </w:r>
    </w:p>
  </w:footnote>
  <w:footnote w:id="1">
    <w:p w14:paraId="0DD5286F" w14:textId="77777777" w:rsidR="00E96491" w:rsidRPr="008F5B2C" w:rsidRDefault="00E96491" w:rsidP="00E96491">
      <w:pPr>
        <w:pStyle w:val="FootnoteText"/>
        <w:rPr>
          <w:rFonts w:ascii="Arial" w:hAnsi="Arial"/>
          <w:sz w:val="16"/>
          <w:szCs w:val="16"/>
        </w:rPr>
      </w:pPr>
      <w:r w:rsidRPr="008F5B2C">
        <w:rPr>
          <w:rStyle w:val="FootnoteReference"/>
          <w:sz w:val="16"/>
          <w:szCs w:val="16"/>
        </w:rPr>
        <w:footnoteRef/>
      </w:r>
      <w:r w:rsidRPr="008F5B2C">
        <w:rPr>
          <w:rFonts w:ascii="Arial" w:hAnsi="Arial"/>
          <w:sz w:val="16"/>
          <w:szCs w:val="16"/>
        </w:rPr>
        <w:t xml:space="preserve"> Agency 2017 APS Employee Census results. Note that percentages relate to employees who responded to the survey.</w:t>
      </w:r>
    </w:p>
  </w:footnote>
  <w:footnote w:id="2">
    <w:p w14:paraId="457CDB1A" w14:textId="77777777" w:rsidR="00E96491" w:rsidRPr="008F5B2C" w:rsidRDefault="00E96491" w:rsidP="00E96491">
      <w:pPr>
        <w:pStyle w:val="FootnoteText"/>
        <w:rPr>
          <w:rFonts w:ascii="Arial" w:hAnsi="Arial"/>
          <w:sz w:val="16"/>
          <w:szCs w:val="16"/>
        </w:rPr>
      </w:pPr>
      <w:r w:rsidRPr="008F5B2C">
        <w:rPr>
          <w:rStyle w:val="FootnoteReference"/>
          <w:sz w:val="16"/>
          <w:szCs w:val="16"/>
        </w:rPr>
        <w:footnoteRef/>
      </w:r>
      <w:r w:rsidRPr="008F5B2C">
        <w:rPr>
          <w:rFonts w:ascii="Arial" w:hAnsi="Arial"/>
          <w:sz w:val="16"/>
          <w:szCs w:val="16"/>
        </w:rPr>
        <w:t xml:space="preserve"> Substantively, t</w:t>
      </w:r>
      <w:r w:rsidRPr="008F5B2C">
        <w:rPr>
          <w:rFonts w:ascii="Arial" w:hAnsi="Arial"/>
          <w:sz w:val="16"/>
          <w:szCs w:val="16"/>
          <w:lang w:val="en"/>
        </w:rPr>
        <w:t xml:space="preserve">here are 37 Executive Level (EL) 2, nine Senior Executive Service (SES) Band 1, and three Senior Executive Service (SES) Band 2 employees as at 31 December 2017. </w:t>
      </w:r>
    </w:p>
  </w:footnote>
  <w:footnote w:id="3">
    <w:p w14:paraId="61EE57CC" w14:textId="77777777" w:rsidR="00E96491" w:rsidRPr="008F5B2C" w:rsidRDefault="00E96491" w:rsidP="00E96491">
      <w:pPr>
        <w:pStyle w:val="FootnoteText"/>
        <w:rPr>
          <w:rFonts w:ascii="Arial" w:hAnsi="Arial"/>
          <w:sz w:val="16"/>
          <w:szCs w:val="16"/>
        </w:rPr>
      </w:pPr>
      <w:r w:rsidRPr="008F5B2C">
        <w:rPr>
          <w:rStyle w:val="FootnoteReference"/>
          <w:sz w:val="16"/>
          <w:szCs w:val="16"/>
        </w:rPr>
        <w:footnoteRef/>
      </w:r>
      <w:r w:rsidRPr="008F5B2C">
        <w:rPr>
          <w:rFonts w:ascii="Arial" w:hAnsi="Arial"/>
          <w:sz w:val="16"/>
          <w:szCs w:val="16"/>
        </w:rPr>
        <w:t xml:space="preserve"> As at 31 December 2017</w:t>
      </w:r>
      <w:r>
        <w:rPr>
          <w:rFonts w:ascii="Arial" w:hAnsi="Arial"/>
          <w:sz w:val="16"/>
          <w:szCs w:val="16"/>
        </w:rPr>
        <w:t>.</w:t>
      </w:r>
    </w:p>
  </w:footnote>
  <w:footnote w:id="4">
    <w:p w14:paraId="0FAB27C5" w14:textId="77777777" w:rsidR="00E96491" w:rsidRPr="0010392C" w:rsidRDefault="00E96491" w:rsidP="00E96491">
      <w:pPr>
        <w:pStyle w:val="FootnoteText"/>
        <w:rPr>
          <w:rFonts w:ascii="Arial" w:hAnsi="Arial"/>
          <w:sz w:val="16"/>
          <w:szCs w:val="16"/>
        </w:rPr>
      </w:pPr>
      <w:r w:rsidRPr="008F5B2C">
        <w:rPr>
          <w:rStyle w:val="FootnoteReference"/>
        </w:rPr>
        <w:footnoteRef/>
      </w:r>
      <w:r w:rsidRPr="008F5B2C">
        <w:rPr>
          <w:rFonts w:ascii="Arial" w:hAnsi="Arial"/>
        </w:rPr>
        <w:t xml:space="preserve"> </w:t>
      </w:r>
      <w:r w:rsidRPr="008F5B2C">
        <w:rPr>
          <w:rFonts w:ascii="Arial" w:hAnsi="Arial"/>
          <w:sz w:val="16"/>
          <w:szCs w:val="16"/>
          <w:lang w:val="en"/>
        </w:rPr>
        <w:t xml:space="preserve">Collection of data on gender X (Indeterminate/Intersex/Unspecified) commenced on 1 July 2016 as recommended by the </w:t>
      </w:r>
      <w:hyperlink r:id="rId1" w:history="1">
        <w:r w:rsidRPr="008F5B2C">
          <w:rPr>
            <w:rStyle w:val="Hyperlink"/>
            <w:rFonts w:eastAsiaTheme="minorEastAsia"/>
            <w:sz w:val="16"/>
            <w:szCs w:val="16"/>
            <w:lang w:val="en"/>
          </w:rPr>
          <w:t>Australian Government Guidelines on the Recognition of Sex and Gender</w:t>
        </w:r>
      </w:hyperlink>
      <w:r w:rsidRPr="008F5B2C">
        <w:rPr>
          <w:rFonts w:ascii="Arial" w:hAnsi="Arial"/>
          <w:sz w:val="16"/>
          <w:szCs w:val="16"/>
          <w:lang w:val="en"/>
        </w:rPr>
        <w:t>. As this is a recent change gender X is likely to be und</w:t>
      </w:r>
      <w:r>
        <w:rPr>
          <w:rFonts w:ascii="Arial" w:hAnsi="Arial"/>
          <w:sz w:val="16"/>
          <w:szCs w:val="16"/>
          <w:lang w:val="en"/>
        </w:rPr>
        <w:t>er-represented in staffing data, taken at 31 December 2017.</w:t>
      </w:r>
    </w:p>
  </w:footnote>
  <w:footnote w:id="5">
    <w:p w14:paraId="3421714E" w14:textId="77777777" w:rsidR="00E96491" w:rsidRPr="00D06482" w:rsidRDefault="00E96491" w:rsidP="00E96491">
      <w:pPr>
        <w:pStyle w:val="ListParagraph"/>
        <w:spacing w:line="276" w:lineRule="auto"/>
        <w:jc w:val="left"/>
        <w:rPr>
          <w:sz w:val="18"/>
          <w:szCs w:val="18"/>
        </w:rPr>
      </w:pPr>
      <w:r w:rsidRPr="00661E0E">
        <w:rPr>
          <w:rStyle w:val="FootnoteReference"/>
          <w:sz w:val="18"/>
          <w:szCs w:val="18"/>
        </w:rPr>
        <w:footnoteRef/>
      </w:r>
      <w:r w:rsidRPr="00661E0E">
        <w:rPr>
          <w:sz w:val="18"/>
          <w:szCs w:val="18"/>
        </w:rPr>
        <w:t xml:space="preserve"> Gender representation targets at the EL2 and SES1 levels recognise that this cohort may include employees identifying as gender X</w:t>
      </w:r>
      <w:r w:rsidRPr="005A499E">
        <w:rPr>
          <w:sz w:val="18"/>
          <w:szCs w:val="18"/>
          <w:highlight w:val="yellow"/>
        </w:rPr>
        <w:t>.</w:t>
      </w:r>
    </w:p>
    <w:p w14:paraId="020494C8" w14:textId="77777777" w:rsidR="00E96491" w:rsidRDefault="00E96491" w:rsidP="00E96491">
      <w:pPr>
        <w:pStyle w:val="FootnoteText"/>
      </w:pPr>
    </w:p>
  </w:footnote>
  <w:footnote w:id="6">
    <w:p w14:paraId="04CC6F29" w14:textId="77777777" w:rsidR="00E96491" w:rsidRPr="00D06482" w:rsidRDefault="00E96491" w:rsidP="00E96491">
      <w:pPr>
        <w:pStyle w:val="FootnoteText"/>
        <w:rPr>
          <w:sz w:val="18"/>
          <w:szCs w:val="18"/>
        </w:rPr>
      </w:pPr>
      <w:r w:rsidRPr="00D06482">
        <w:rPr>
          <w:rStyle w:val="FootnoteReference"/>
          <w:sz w:val="18"/>
          <w:szCs w:val="18"/>
        </w:rPr>
        <w:footnoteRef/>
      </w:r>
      <w:r w:rsidRPr="00D06482">
        <w:rPr>
          <w:sz w:val="18"/>
          <w:szCs w:val="18"/>
        </w:rPr>
        <w:t xml:space="preserve"> Objective testing includes psychometric (cognitive ability and behavioural aptitude) and comprehension tests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D2CC6" w14:textId="77777777" w:rsidR="00F91FDE" w:rsidRDefault="00F91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96A21" w14:textId="77777777" w:rsidR="00AC229B" w:rsidRDefault="00AC229B" w:rsidP="009C14E2">
    <w:pPr>
      <w:spacing w:before="720" w:after="84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B2764" w14:textId="77777777" w:rsidR="006E34AE" w:rsidRPr="003952ED" w:rsidRDefault="006E34AE" w:rsidP="00AB27F9">
    <w:pPr>
      <w:rPr>
        <w:u w:val="single"/>
      </w:rPr>
    </w:pPr>
    <w:r w:rsidRPr="003952ED">
      <w:rPr>
        <w:noProof/>
        <w:u w:val="single"/>
        <w:lang w:eastAsia="en-AU"/>
      </w:rPr>
      <w:drawing>
        <wp:anchor distT="0" distB="0" distL="114300" distR="114300" simplePos="0" relativeHeight="251656192" behindDoc="1" locked="0" layoutInCell="1" allowOverlap="1" wp14:anchorId="42DF1754" wp14:editId="2DBDC326">
          <wp:simplePos x="0" y="0"/>
          <wp:positionH relativeFrom="column">
            <wp:posOffset>-833755</wp:posOffset>
          </wp:positionH>
          <wp:positionV relativeFrom="paragraph">
            <wp:posOffset>2042605</wp:posOffset>
          </wp:positionV>
          <wp:extent cx="7592060" cy="8418614"/>
          <wp:effectExtent l="0" t="0" r="8890" b="1905"/>
          <wp:wrapNone/>
          <wp:docPr id="8" name="Picture 32"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Information Technology\IT\Information mgmt\Templates\FWO titlepag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060" cy="84186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698C5B2"/>
    <w:lvl w:ilvl="0">
      <w:numFmt w:val="decimal"/>
      <w:pStyle w:val="Caption"/>
      <w:lvlText w:val="*"/>
      <w:lvlJc w:val="left"/>
      <w:rPr>
        <w:rFonts w:cs="Times New Roman"/>
      </w:rPr>
    </w:lvl>
  </w:abstractNum>
  <w:abstractNum w:abstractNumId="1" w15:restartNumberingAfterBreak="0">
    <w:nsid w:val="079214D7"/>
    <w:multiLevelType w:val="hybridMultilevel"/>
    <w:tmpl w:val="EA3232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6F2D02"/>
    <w:multiLevelType w:val="hybridMultilevel"/>
    <w:tmpl w:val="EA3232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8F32DC"/>
    <w:multiLevelType w:val="hybridMultilevel"/>
    <w:tmpl w:val="EA323260"/>
    <w:lvl w:ilvl="0" w:tplc="0C090017">
      <w:start w:val="1"/>
      <w:numFmt w:val="lowerLette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E566A6"/>
    <w:multiLevelType w:val="hybridMultilevel"/>
    <w:tmpl w:val="EA323260"/>
    <w:lvl w:ilvl="0" w:tplc="0C090017">
      <w:start w:val="1"/>
      <w:numFmt w:val="lowerLetter"/>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4365F3"/>
    <w:multiLevelType w:val="hybridMultilevel"/>
    <w:tmpl w:val="EA3232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451E7D"/>
    <w:multiLevelType w:val="hybridMultilevel"/>
    <w:tmpl w:val="3796BC9E"/>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23967C9A"/>
    <w:multiLevelType w:val="hybridMultilevel"/>
    <w:tmpl w:val="3CC6E30A"/>
    <w:lvl w:ilvl="0" w:tplc="AB86CA3C">
      <w:start w:val="1"/>
      <w:numFmt w:val="bullet"/>
      <w:pStyle w:val="Dotpoint"/>
      <w:lvlText w:val=""/>
      <w:lvlJc w:val="left"/>
      <w:pPr>
        <w:tabs>
          <w:tab w:val="num" w:pos="1385"/>
        </w:tabs>
        <w:ind w:left="1385" w:hanging="283"/>
      </w:pPr>
      <w:rPr>
        <w:rFonts w:ascii="Symbol" w:hAnsi="Symbol" w:hint="default"/>
      </w:rPr>
    </w:lvl>
    <w:lvl w:ilvl="1" w:tplc="0C090003" w:tentative="1">
      <w:start w:val="1"/>
      <w:numFmt w:val="bullet"/>
      <w:lvlText w:val="o"/>
      <w:lvlJc w:val="left"/>
      <w:pPr>
        <w:tabs>
          <w:tab w:val="num" w:pos="1462"/>
        </w:tabs>
        <w:ind w:left="1462" w:hanging="360"/>
      </w:pPr>
      <w:rPr>
        <w:rFonts w:ascii="Courier New" w:hAnsi="Courier New" w:hint="default"/>
      </w:rPr>
    </w:lvl>
    <w:lvl w:ilvl="2" w:tplc="0C090005" w:tentative="1">
      <w:start w:val="1"/>
      <w:numFmt w:val="bullet"/>
      <w:lvlText w:val=""/>
      <w:lvlJc w:val="left"/>
      <w:pPr>
        <w:tabs>
          <w:tab w:val="num" w:pos="2182"/>
        </w:tabs>
        <w:ind w:left="2182" w:hanging="360"/>
      </w:pPr>
      <w:rPr>
        <w:rFonts w:ascii="Wingdings" w:hAnsi="Wingdings" w:hint="default"/>
      </w:rPr>
    </w:lvl>
    <w:lvl w:ilvl="3" w:tplc="0C090001" w:tentative="1">
      <w:start w:val="1"/>
      <w:numFmt w:val="bullet"/>
      <w:lvlText w:val=""/>
      <w:lvlJc w:val="left"/>
      <w:pPr>
        <w:tabs>
          <w:tab w:val="num" w:pos="2902"/>
        </w:tabs>
        <w:ind w:left="2902" w:hanging="360"/>
      </w:pPr>
      <w:rPr>
        <w:rFonts w:ascii="Symbol" w:hAnsi="Symbol" w:hint="default"/>
      </w:rPr>
    </w:lvl>
    <w:lvl w:ilvl="4" w:tplc="0C090003" w:tentative="1">
      <w:start w:val="1"/>
      <w:numFmt w:val="bullet"/>
      <w:lvlText w:val="o"/>
      <w:lvlJc w:val="left"/>
      <w:pPr>
        <w:tabs>
          <w:tab w:val="num" w:pos="3622"/>
        </w:tabs>
        <w:ind w:left="3622" w:hanging="360"/>
      </w:pPr>
      <w:rPr>
        <w:rFonts w:ascii="Courier New" w:hAnsi="Courier New" w:hint="default"/>
      </w:rPr>
    </w:lvl>
    <w:lvl w:ilvl="5" w:tplc="0C090005" w:tentative="1">
      <w:start w:val="1"/>
      <w:numFmt w:val="bullet"/>
      <w:lvlText w:val=""/>
      <w:lvlJc w:val="left"/>
      <w:pPr>
        <w:tabs>
          <w:tab w:val="num" w:pos="4342"/>
        </w:tabs>
        <w:ind w:left="4342" w:hanging="360"/>
      </w:pPr>
      <w:rPr>
        <w:rFonts w:ascii="Wingdings" w:hAnsi="Wingdings" w:hint="default"/>
      </w:rPr>
    </w:lvl>
    <w:lvl w:ilvl="6" w:tplc="0C090001" w:tentative="1">
      <w:start w:val="1"/>
      <w:numFmt w:val="bullet"/>
      <w:lvlText w:val=""/>
      <w:lvlJc w:val="left"/>
      <w:pPr>
        <w:tabs>
          <w:tab w:val="num" w:pos="5062"/>
        </w:tabs>
        <w:ind w:left="5062" w:hanging="360"/>
      </w:pPr>
      <w:rPr>
        <w:rFonts w:ascii="Symbol" w:hAnsi="Symbol" w:hint="default"/>
      </w:rPr>
    </w:lvl>
    <w:lvl w:ilvl="7" w:tplc="0C090003" w:tentative="1">
      <w:start w:val="1"/>
      <w:numFmt w:val="bullet"/>
      <w:lvlText w:val="o"/>
      <w:lvlJc w:val="left"/>
      <w:pPr>
        <w:tabs>
          <w:tab w:val="num" w:pos="5782"/>
        </w:tabs>
        <w:ind w:left="5782" w:hanging="360"/>
      </w:pPr>
      <w:rPr>
        <w:rFonts w:ascii="Courier New" w:hAnsi="Courier New" w:hint="default"/>
      </w:rPr>
    </w:lvl>
    <w:lvl w:ilvl="8" w:tplc="0C090005" w:tentative="1">
      <w:start w:val="1"/>
      <w:numFmt w:val="bullet"/>
      <w:lvlText w:val=""/>
      <w:lvlJc w:val="left"/>
      <w:pPr>
        <w:tabs>
          <w:tab w:val="num" w:pos="6502"/>
        </w:tabs>
        <w:ind w:left="6502" w:hanging="360"/>
      </w:pPr>
      <w:rPr>
        <w:rFonts w:ascii="Wingdings" w:hAnsi="Wingdings" w:hint="default"/>
      </w:rPr>
    </w:lvl>
  </w:abstractNum>
  <w:abstractNum w:abstractNumId="8" w15:restartNumberingAfterBreak="0">
    <w:nsid w:val="253B7848"/>
    <w:multiLevelType w:val="hybridMultilevel"/>
    <w:tmpl w:val="EA323260"/>
    <w:lvl w:ilvl="0" w:tplc="0C090017">
      <w:start w:val="1"/>
      <w:numFmt w:val="lowerLetter"/>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7F34D5"/>
    <w:multiLevelType w:val="hybridMultilevel"/>
    <w:tmpl w:val="EA323260"/>
    <w:lvl w:ilvl="0" w:tplc="0C090017">
      <w:start w:val="1"/>
      <w:numFmt w:val="lowerLetter"/>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C76A98"/>
    <w:multiLevelType w:val="hybridMultilevel"/>
    <w:tmpl w:val="EA323260"/>
    <w:lvl w:ilvl="0" w:tplc="0C090017">
      <w:start w:val="1"/>
      <w:numFmt w:val="lowerLetter"/>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E9564E"/>
    <w:multiLevelType w:val="hybridMultilevel"/>
    <w:tmpl w:val="EA323260"/>
    <w:lvl w:ilvl="0" w:tplc="0C090017">
      <w:start w:val="1"/>
      <w:numFmt w:val="lowerLetter"/>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950743"/>
    <w:multiLevelType w:val="hybridMultilevel"/>
    <w:tmpl w:val="8C76F9A4"/>
    <w:lvl w:ilvl="0" w:tplc="8DE61D54">
      <w:start w:val="1"/>
      <w:numFmt w:val="bullet"/>
      <w:pStyle w:val="Bullet"/>
      <w:lvlText w:val=""/>
      <w:lvlJc w:val="left"/>
      <w:pPr>
        <w:ind w:left="36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3A57A8"/>
    <w:multiLevelType w:val="hybridMultilevel"/>
    <w:tmpl w:val="EA323260"/>
    <w:lvl w:ilvl="0" w:tplc="0C090017">
      <w:start w:val="1"/>
      <w:numFmt w:val="lowerLetter"/>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277592"/>
    <w:multiLevelType w:val="hybridMultilevel"/>
    <w:tmpl w:val="EA323260"/>
    <w:lvl w:ilvl="0" w:tplc="0C090017">
      <w:start w:val="1"/>
      <w:numFmt w:val="lowerLetter"/>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D5389D"/>
    <w:multiLevelType w:val="hybridMultilevel"/>
    <w:tmpl w:val="BB2650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17" w15:restartNumberingAfterBreak="0">
    <w:nsid w:val="6B126074"/>
    <w:multiLevelType w:val="multilevel"/>
    <w:tmpl w:val="17601736"/>
    <w:styleLink w:val="Numberletterbullets"/>
    <w:lvl w:ilvl="0">
      <w:start w:val="1"/>
      <w:numFmt w:val="decimal"/>
      <w:lvlText w:val="%1."/>
      <w:lvlJc w:val="left"/>
      <w:pPr>
        <w:tabs>
          <w:tab w:val="num" w:pos="720"/>
        </w:tabs>
        <w:ind w:left="720" w:hanging="360"/>
      </w:pPr>
      <w:rPr>
        <w:rFonts w:ascii="Arial" w:hAnsi="Arial" w:cs="Times New Roman"/>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BC82BA9"/>
    <w:multiLevelType w:val="hybridMultilevel"/>
    <w:tmpl w:val="EA323260"/>
    <w:lvl w:ilvl="0" w:tplc="0C090017">
      <w:start w:val="1"/>
      <w:numFmt w:val="lowerLetter"/>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376896"/>
    <w:multiLevelType w:val="hybridMultilevel"/>
    <w:tmpl w:val="345E60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35A16A6"/>
    <w:multiLevelType w:val="multilevel"/>
    <w:tmpl w:val="B5FC094A"/>
    <w:styleLink w:val="BulletLevel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3">
    <w:abstractNumId w:val="7"/>
  </w:num>
  <w:num w:numId="4">
    <w:abstractNumId w:val="16"/>
  </w:num>
  <w:num w:numId="5">
    <w:abstractNumId w:val="17"/>
  </w:num>
  <w:num w:numId="6">
    <w:abstractNumId w:val="12"/>
  </w:num>
  <w:num w:numId="7">
    <w:abstractNumId w:val="6"/>
  </w:num>
  <w:num w:numId="8">
    <w:abstractNumId w:val="15"/>
  </w:num>
  <w:num w:numId="9">
    <w:abstractNumId w:val="19"/>
  </w:num>
  <w:num w:numId="10">
    <w:abstractNumId w:val="5"/>
  </w:num>
  <w:num w:numId="11">
    <w:abstractNumId w:val="2"/>
  </w:num>
  <w:num w:numId="12">
    <w:abstractNumId w:val="1"/>
  </w:num>
  <w:num w:numId="13">
    <w:abstractNumId w:val="11"/>
  </w:num>
  <w:num w:numId="14">
    <w:abstractNumId w:val="13"/>
  </w:num>
  <w:num w:numId="15">
    <w:abstractNumId w:val="3"/>
  </w:num>
  <w:num w:numId="16">
    <w:abstractNumId w:val="14"/>
  </w:num>
  <w:num w:numId="17">
    <w:abstractNumId w:val="8"/>
  </w:num>
  <w:num w:numId="18">
    <w:abstractNumId w:val="9"/>
  </w:num>
  <w:num w:numId="19">
    <w:abstractNumId w:val="10"/>
  </w:num>
  <w:num w:numId="20">
    <w:abstractNumId w:val="4"/>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563"/>
    <w:rsid w:val="0000366A"/>
    <w:rsid w:val="00003FF8"/>
    <w:rsid w:val="00006D48"/>
    <w:rsid w:val="00020ED9"/>
    <w:rsid w:val="00026E74"/>
    <w:rsid w:val="00043D63"/>
    <w:rsid w:val="00044A07"/>
    <w:rsid w:val="00057AE4"/>
    <w:rsid w:val="00064562"/>
    <w:rsid w:val="000652ED"/>
    <w:rsid w:val="00067031"/>
    <w:rsid w:val="00070178"/>
    <w:rsid w:val="00090047"/>
    <w:rsid w:val="000946A5"/>
    <w:rsid w:val="0009727F"/>
    <w:rsid w:val="000A5FE4"/>
    <w:rsid w:val="000B04DA"/>
    <w:rsid w:val="000C1DF4"/>
    <w:rsid w:val="000C359C"/>
    <w:rsid w:val="000C63F1"/>
    <w:rsid w:val="000C6A5F"/>
    <w:rsid w:val="000D29E1"/>
    <w:rsid w:val="000E08E4"/>
    <w:rsid w:val="000E2601"/>
    <w:rsid w:val="000E362E"/>
    <w:rsid w:val="000E37AC"/>
    <w:rsid w:val="000F0FBA"/>
    <w:rsid w:val="000F2720"/>
    <w:rsid w:val="000F4B5B"/>
    <w:rsid w:val="001014A0"/>
    <w:rsid w:val="00105CEF"/>
    <w:rsid w:val="00106B77"/>
    <w:rsid w:val="00111949"/>
    <w:rsid w:val="00125A38"/>
    <w:rsid w:val="00127C72"/>
    <w:rsid w:val="00133B21"/>
    <w:rsid w:val="0013580F"/>
    <w:rsid w:val="00142043"/>
    <w:rsid w:val="001506E4"/>
    <w:rsid w:val="001607FB"/>
    <w:rsid w:val="0016101D"/>
    <w:rsid w:val="0016465A"/>
    <w:rsid w:val="001676B6"/>
    <w:rsid w:val="00181475"/>
    <w:rsid w:val="001850B4"/>
    <w:rsid w:val="00190392"/>
    <w:rsid w:val="0019080C"/>
    <w:rsid w:val="00194A0D"/>
    <w:rsid w:val="001A4525"/>
    <w:rsid w:val="001B2781"/>
    <w:rsid w:val="001B2A68"/>
    <w:rsid w:val="001D6D36"/>
    <w:rsid w:val="001D75B0"/>
    <w:rsid w:val="001E47B4"/>
    <w:rsid w:val="001F20C3"/>
    <w:rsid w:val="001F3149"/>
    <w:rsid w:val="001F3169"/>
    <w:rsid w:val="00202975"/>
    <w:rsid w:val="00202E5C"/>
    <w:rsid w:val="00205DBE"/>
    <w:rsid w:val="00214011"/>
    <w:rsid w:val="00244EEE"/>
    <w:rsid w:val="002450DA"/>
    <w:rsid w:val="00252709"/>
    <w:rsid w:val="002533F0"/>
    <w:rsid w:val="0025534A"/>
    <w:rsid w:val="00274039"/>
    <w:rsid w:val="00274AEF"/>
    <w:rsid w:val="0028208F"/>
    <w:rsid w:val="00292AAB"/>
    <w:rsid w:val="002958C4"/>
    <w:rsid w:val="002A4276"/>
    <w:rsid w:val="002B5FAD"/>
    <w:rsid w:val="002B621B"/>
    <w:rsid w:val="002C4986"/>
    <w:rsid w:val="002C769D"/>
    <w:rsid w:val="002D4156"/>
    <w:rsid w:val="002D7B33"/>
    <w:rsid w:val="002E23E2"/>
    <w:rsid w:val="002E6E0C"/>
    <w:rsid w:val="002F0DF6"/>
    <w:rsid w:val="002F61D0"/>
    <w:rsid w:val="00315AB8"/>
    <w:rsid w:val="0032006D"/>
    <w:rsid w:val="003215C7"/>
    <w:rsid w:val="00330F14"/>
    <w:rsid w:val="00332317"/>
    <w:rsid w:val="0033684C"/>
    <w:rsid w:val="00340E0D"/>
    <w:rsid w:val="003412BC"/>
    <w:rsid w:val="00341A80"/>
    <w:rsid w:val="0034403B"/>
    <w:rsid w:val="00345AD1"/>
    <w:rsid w:val="00357D51"/>
    <w:rsid w:val="00371258"/>
    <w:rsid w:val="003749B1"/>
    <w:rsid w:val="00374EF9"/>
    <w:rsid w:val="0038439E"/>
    <w:rsid w:val="003861B5"/>
    <w:rsid w:val="003952ED"/>
    <w:rsid w:val="003B121D"/>
    <w:rsid w:val="003B1C62"/>
    <w:rsid w:val="003B2808"/>
    <w:rsid w:val="003B35B1"/>
    <w:rsid w:val="003B62FE"/>
    <w:rsid w:val="003C6D5B"/>
    <w:rsid w:val="003D18E2"/>
    <w:rsid w:val="003D2933"/>
    <w:rsid w:val="003E0FDA"/>
    <w:rsid w:val="003E2FB5"/>
    <w:rsid w:val="00400743"/>
    <w:rsid w:val="0040294F"/>
    <w:rsid w:val="00403015"/>
    <w:rsid w:val="004033BF"/>
    <w:rsid w:val="004044C1"/>
    <w:rsid w:val="004046AC"/>
    <w:rsid w:val="0040543F"/>
    <w:rsid w:val="00405844"/>
    <w:rsid w:val="00410018"/>
    <w:rsid w:val="004171B5"/>
    <w:rsid w:val="00433812"/>
    <w:rsid w:val="00436CD6"/>
    <w:rsid w:val="00451CB0"/>
    <w:rsid w:val="0045285F"/>
    <w:rsid w:val="0045600E"/>
    <w:rsid w:val="00463F3A"/>
    <w:rsid w:val="004650C3"/>
    <w:rsid w:val="00467B47"/>
    <w:rsid w:val="00475F07"/>
    <w:rsid w:val="004947D1"/>
    <w:rsid w:val="00494BAC"/>
    <w:rsid w:val="00495DA8"/>
    <w:rsid w:val="00497F76"/>
    <w:rsid w:val="004A29A2"/>
    <w:rsid w:val="004B2104"/>
    <w:rsid w:val="004B22F3"/>
    <w:rsid w:val="004C0B58"/>
    <w:rsid w:val="004C33F0"/>
    <w:rsid w:val="004C6B22"/>
    <w:rsid w:val="004D111F"/>
    <w:rsid w:val="004E2431"/>
    <w:rsid w:val="004E3470"/>
    <w:rsid w:val="004E36F6"/>
    <w:rsid w:val="004E7102"/>
    <w:rsid w:val="004E7C5C"/>
    <w:rsid w:val="004F15FA"/>
    <w:rsid w:val="004F3284"/>
    <w:rsid w:val="004F4518"/>
    <w:rsid w:val="00501D43"/>
    <w:rsid w:val="00502485"/>
    <w:rsid w:val="00503E04"/>
    <w:rsid w:val="005103EE"/>
    <w:rsid w:val="00512B40"/>
    <w:rsid w:val="00523F90"/>
    <w:rsid w:val="00524C21"/>
    <w:rsid w:val="00533528"/>
    <w:rsid w:val="0054474D"/>
    <w:rsid w:val="00546C2E"/>
    <w:rsid w:val="00551512"/>
    <w:rsid w:val="00587007"/>
    <w:rsid w:val="00587A9D"/>
    <w:rsid w:val="00592A13"/>
    <w:rsid w:val="00593E35"/>
    <w:rsid w:val="00596451"/>
    <w:rsid w:val="005B3334"/>
    <w:rsid w:val="005B3A17"/>
    <w:rsid w:val="005B513C"/>
    <w:rsid w:val="005B5F39"/>
    <w:rsid w:val="005C390A"/>
    <w:rsid w:val="005D107E"/>
    <w:rsid w:val="005E3ED5"/>
    <w:rsid w:val="00602CBE"/>
    <w:rsid w:val="0060649A"/>
    <w:rsid w:val="00607993"/>
    <w:rsid w:val="00612257"/>
    <w:rsid w:val="00616148"/>
    <w:rsid w:val="00624A88"/>
    <w:rsid w:val="0062705E"/>
    <w:rsid w:val="00631685"/>
    <w:rsid w:val="00635BD6"/>
    <w:rsid w:val="00637381"/>
    <w:rsid w:val="00637D93"/>
    <w:rsid w:val="006615E0"/>
    <w:rsid w:val="00663F9B"/>
    <w:rsid w:val="00666A7E"/>
    <w:rsid w:val="00666FD1"/>
    <w:rsid w:val="00681844"/>
    <w:rsid w:val="006824E7"/>
    <w:rsid w:val="006836FC"/>
    <w:rsid w:val="006878B3"/>
    <w:rsid w:val="0069564F"/>
    <w:rsid w:val="006A3313"/>
    <w:rsid w:val="006A412C"/>
    <w:rsid w:val="006B7D36"/>
    <w:rsid w:val="006C2BEE"/>
    <w:rsid w:val="006E34AE"/>
    <w:rsid w:val="006E4D7E"/>
    <w:rsid w:val="006E7D24"/>
    <w:rsid w:val="007013DD"/>
    <w:rsid w:val="00717C75"/>
    <w:rsid w:val="00736C10"/>
    <w:rsid w:val="00743B2F"/>
    <w:rsid w:val="00774166"/>
    <w:rsid w:val="00791818"/>
    <w:rsid w:val="007A2082"/>
    <w:rsid w:val="007A2D49"/>
    <w:rsid w:val="007A6309"/>
    <w:rsid w:val="007B16EE"/>
    <w:rsid w:val="007D66FA"/>
    <w:rsid w:val="007E1B5B"/>
    <w:rsid w:val="007E3190"/>
    <w:rsid w:val="007E4C63"/>
    <w:rsid w:val="007E6493"/>
    <w:rsid w:val="00813552"/>
    <w:rsid w:val="008205AC"/>
    <w:rsid w:val="008217E4"/>
    <w:rsid w:val="008324C6"/>
    <w:rsid w:val="008340F6"/>
    <w:rsid w:val="00840399"/>
    <w:rsid w:val="008503B5"/>
    <w:rsid w:val="00856E98"/>
    <w:rsid w:val="00860091"/>
    <w:rsid w:val="00872779"/>
    <w:rsid w:val="008770CF"/>
    <w:rsid w:val="00877300"/>
    <w:rsid w:val="008850A2"/>
    <w:rsid w:val="0088737E"/>
    <w:rsid w:val="00892902"/>
    <w:rsid w:val="008967E4"/>
    <w:rsid w:val="008979FD"/>
    <w:rsid w:val="008A6906"/>
    <w:rsid w:val="008B4B17"/>
    <w:rsid w:val="008B64FB"/>
    <w:rsid w:val="008B7934"/>
    <w:rsid w:val="008C494F"/>
    <w:rsid w:val="008C68B5"/>
    <w:rsid w:val="008D7319"/>
    <w:rsid w:val="008E46F0"/>
    <w:rsid w:val="008E5CCA"/>
    <w:rsid w:val="008F22E5"/>
    <w:rsid w:val="008F2CC1"/>
    <w:rsid w:val="008F5354"/>
    <w:rsid w:val="008F5E6D"/>
    <w:rsid w:val="008F7AFC"/>
    <w:rsid w:val="00911CB2"/>
    <w:rsid w:val="00911D94"/>
    <w:rsid w:val="0091246E"/>
    <w:rsid w:val="009137A7"/>
    <w:rsid w:val="00925B42"/>
    <w:rsid w:val="009344C6"/>
    <w:rsid w:val="0093542C"/>
    <w:rsid w:val="00936511"/>
    <w:rsid w:val="009401AC"/>
    <w:rsid w:val="00960B57"/>
    <w:rsid w:val="009629F3"/>
    <w:rsid w:val="00972C87"/>
    <w:rsid w:val="00973C4D"/>
    <w:rsid w:val="009742D2"/>
    <w:rsid w:val="00983A21"/>
    <w:rsid w:val="009943AB"/>
    <w:rsid w:val="009A1C4A"/>
    <w:rsid w:val="009B0B6A"/>
    <w:rsid w:val="009C10C3"/>
    <w:rsid w:val="009C14E2"/>
    <w:rsid w:val="009D2725"/>
    <w:rsid w:val="009D7631"/>
    <w:rsid w:val="009E226F"/>
    <w:rsid w:val="009F0C25"/>
    <w:rsid w:val="00A0465A"/>
    <w:rsid w:val="00A05A24"/>
    <w:rsid w:val="00A07A1B"/>
    <w:rsid w:val="00A12742"/>
    <w:rsid w:val="00A15574"/>
    <w:rsid w:val="00A31EED"/>
    <w:rsid w:val="00A32E18"/>
    <w:rsid w:val="00A40015"/>
    <w:rsid w:val="00A46F23"/>
    <w:rsid w:val="00A50448"/>
    <w:rsid w:val="00A7186B"/>
    <w:rsid w:val="00A71FA8"/>
    <w:rsid w:val="00A73C8E"/>
    <w:rsid w:val="00A8211F"/>
    <w:rsid w:val="00A82E86"/>
    <w:rsid w:val="00A9000B"/>
    <w:rsid w:val="00A946A9"/>
    <w:rsid w:val="00A95312"/>
    <w:rsid w:val="00AA0A3E"/>
    <w:rsid w:val="00AA3C88"/>
    <w:rsid w:val="00AB098D"/>
    <w:rsid w:val="00AB27F9"/>
    <w:rsid w:val="00AC17ED"/>
    <w:rsid w:val="00AC229B"/>
    <w:rsid w:val="00AC7EC8"/>
    <w:rsid w:val="00AD0B0A"/>
    <w:rsid w:val="00AD3FD7"/>
    <w:rsid w:val="00AD5F7F"/>
    <w:rsid w:val="00AD7ACB"/>
    <w:rsid w:val="00AE0C8C"/>
    <w:rsid w:val="00AF0936"/>
    <w:rsid w:val="00AF5549"/>
    <w:rsid w:val="00B0049B"/>
    <w:rsid w:val="00B00BC8"/>
    <w:rsid w:val="00B0742B"/>
    <w:rsid w:val="00B11DDC"/>
    <w:rsid w:val="00B13C89"/>
    <w:rsid w:val="00B148E4"/>
    <w:rsid w:val="00B14AD9"/>
    <w:rsid w:val="00B206C4"/>
    <w:rsid w:val="00B26E4B"/>
    <w:rsid w:val="00B33C57"/>
    <w:rsid w:val="00B67D04"/>
    <w:rsid w:val="00B842F5"/>
    <w:rsid w:val="00B8655E"/>
    <w:rsid w:val="00B90991"/>
    <w:rsid w:val="00B9339B"/>
    <w:rsid w:val="00B94A6B"/>
    <w:rsid w:val="00B97961"/>
    <w:rsid w:val="00BA1ACC"/>
    <w:rsid w:val="00BA4FF9"/>
    <w:rsid w:val="00BA602C"/>
    <w:rsid w:val="00BB25C4"/>
    <w:rsid w:val="00BB26EF"/>
    <w:rsid w:val="00BB59AA"/>
    <w:rsid w:val="00BC0280"/>
    <w:rsid w:val="00BD0563"/>
    <w:rsid w:val="00BD79E5"/>
    <w:rsid w:val="00BE15EC"/>
    <w:rsid w:val="00BF0029"/>
    <w:rsid w:val="00C00C46"/>
    <w:rsid w:val="00C02BFF"/>
    <w:rsid w:val="00C11D0C"/>
    <w:rsid w:val="00C14135"/>
    <w:rsid w:val="00C2298B"/>
    <w:rsid w:val="00C24A7A"/>
    <w:rsid w:val="00C36E87"/>
    <w:rsid w:val="00C423F4"/>
    <w:rsid w:val="00C46495"/>
    <w:rsid w:val="00C46A9A"/>
    <w:rsid w:val="00C51199"/>
    <w:rsid w:val="00C538CC"/>
    <w:rsid w:val="00C56962"/>
    <w:rsid w:val="00C62ACD"/>
    <w:rsid w:val="00C6446B"/>
    <w:rsid w:val="00C72D97"/>
    <w:rsid w:val="00C81AF7"/>
    <w:rsid w:val="00C9231F"/>
    <w:rsid w:val="00CC3FFC"/>
    <w:rsid w:val="00CC7FFE"/>
    <w:rsid w:val="00CD404B"/>
    <w:rsid w:val="00CD6F15"/>
    <w:rsid w:val="00CE3D01"/>
    <w:rsid w:val="00CE60A1"/>
    <w:rsid w:val="00CE63BE"/>
    <w:rsid w:val="00CF3B06"/>
    <w:rsid w:val="00D048A5"/>
    <w:rsid w:val="00D13A87"/>
    <w:rsid w:val="00D15EAC"/>
    <w:rsid w:val="00D27F43"/>
    <w:rsid w:val="00D32399"/>
    <w:rsid w:val="00D3277B"/>
    <w:rsid w:val="00D363DC"/>
    <w:rsid w:val="00D6528F"/>
    <w:rsid w:val="00D7342F"/>
    <w:rsid w:val="00D7578E"/>
    <w:rsid w:val="00D8198B"/>
    <w:rsid w:val="00D964E9"/>
    <w:rsid w:val="00DA0189"/>
    <w:rsid w:val="00DA096D"/>
    <w:rsid w:val="00DA57D3"/>
    <w:rsid w:val="00DA7E1A"/>
    <w:rsid w:val="00DB2A3D"/>
    <w:rsid w:val="00DB5915"/>
    <w:rsid w:val="00DC0961"/>
    <w:rsid w:val="00DC1F8D"/>
    <w:rsid w:val="00DC5A09"/>
    <w:rsid w:val="00DC6E83"/>
    <w:rsid w:val="00DC7AC2"/>
    <w:rsid w:val="00DE51CF"/>
    <w:rsid w:val="00DE7C28"/>
    <w:rsid w:val="00DF4831"/>
    <w:rsid w:val="00DF6D17"/>
    <w:rsid w:val="00E10583"/>
    <w:rsid w:val="00E151A0"/>
    <w:rsid w:val="00E22203"/>
    <w:rsid w:val="00E2399E"/>
    <w:rsid w:val="00E32352"/>
    <w:rsid w:val="00E402C2"/>
    <w:rsid w:val="00E403BA"/>
    <w:rsid w:val="00E46CCA"/>
    <w:rsid w:val="00E47350"/>
    <w:rsid w:val="00E601F8"/>
    <w:rsid w:val="00E64EE0"/>
    <w:rsid w:val="00E65E59"/>
    <w:rsid w:val="00E73829"/>
    <w:rsid w:val="00E8678A"/>
    <w:rsid w:val="00E944DC"/>
    <w:rsid w:val="00E96491"/>
    <w:rsid w:val="00E974A6"/>
    <w:rsid w:val="00EA5329"/>
    <w:rsid w:val="00EA6181"/>
    <w:rsid w:val="00EB1522"/>
    <w:rsid w:val="00EB2C3E"/>
    <w:rsid w:val="00EC55E6"/>
    <w:rsid w:val="00ED0D64"/>
    <w:rsid w:val="00ED295F"/>
    <w:rsid w:val="00ED4AEB"/>
    <w:rsid w:val="00ED60EC"/>
    <w:rsid w:val="00EE2EF8"/>
    <w:rsid w:val="00EE3963"/>
    <w:rsid w:val="00EE3A19"/>
    <w:rsid w:val="00EE573C"/>
    <w:rsid w:val="00EF394B"/>
    <w:rsid w:val="00EF6D72"/>
    <w:rsid w:val="00F105AC"/>
    <w:rsid w:val="00F23488"/>
    <w:rsid w:val="00F2588C"/>
    <w:rsid w:val="00F26590"/>
    <w:rsid w:val="00F31E30"/>
    <w:rsid w:val="00F51A80"/>
    <w:rsid w:val="00F55653"/>
    <w:rsid w:val="00F557CB"/>
    <w:rsid w:val="00F573B5"/>
    <w:rsid w:val="00F66106"/>
    <w:rsid w:val="00F77208"/>
    <w:rsid w:val="00F77D9C"/>
    <w:rsid w:val="00F8218D"/>
    <w:rsid w:val="00F91FDE"/>
    <w:rsid w:val="00F94F7D"/>
    <w:rsid w:val="00FA1039"/>
    <w:rsid w:val="00FA137B"/>
    <w:rsid w:val="00FA37A8"/>
    <w:rsid w:val="00FA64BA"/>
    <w:rsid w:val="00FB1516"/>
    <w:rsid w:val="00FB48B9"/>
    <w:rsid w:val="00FC11E0"/>
    <w:rsid w:val="00FD21CA"/>
    <w:rsid w:val="00FE2A0E"/>
    <w:rsid w:val="00FE63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o:shapelayout v:ext="edit">
      <o:idmap v:ext="edit" data="1"/>
    </o:shapelayout>
  </w:shapeDefaults>
  <w:decimalSymbol w:val="."/>
  <w:listSeparator w:val=","/>
  <w14:docId w14:val="3BE60C1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
    <w:qFormat/>
    <w:rsid w:val="00CF3B06"/>
    <w:pPr>
      <w:spacing w:after="120" w:line="360" w:lineRule="auto"/>
      <w:jc w:val="both"/>
    </w:pPr>
    <w:rPr>
      <w:rFonts w:ascii="Helvetica" w:hAnsi="Helvetica" w:cs="Arial"/>
      <w:sz w:val="22"/>
      <w:szCs w:val="24"/>
      <w:lang w:eastAsia="en-US"/>
    </w:rPr>
  </w:style>
  <w:style w:type="paragraph" w:styleId="Heading1">
    <w:name w:val="heading 1"/>
    <w:basedOn w:val="Normal"/>
    <w:next w:val="Normal"/>
    <w:link w:val="Heading1Char"/>
    <w:autoRedefine/>
    <w:uiPriority w:val="9"/>
    <w:qFormat/>
    <w:rsid w:val="00E96491"/>
    <w:pPr>
      <w:keepNext/>
      <w:keepLines/>
      <w:spacing w:before="240" w:after="60"/>
      <w:jc w:val="left"/>
      <w:outlineLvl w:val="0"/>
    </w:pPr>
    <w:rPr>
      <w:color w:val="FFFFFF" w:themeColor="background1"/>
      <w:sz w:val="72"/>
      <w:szCs w:val="72"/>
    </w:rPr>
  </w:style>
  <w:style w:type="paragraph" w:styleId="Heading2">
    <w:name w:val="heading 2"/>
    <w:basedOn w:val="Normal"/>
    <w:next w:val="Normal"/>
    <w:link w:val="Heading2Char"/>
    <w:autoRedefine/>
    <w:uiPriority w:val="9"/>
    <w:qFormat/>
    <w:rsid w:val="00E96491"/>
    <w:pPr>
      <w:outlineLvl w:val="1"/>
    </w:pPr>
    <w:rPr>
      <w:rFonts w:eastAsiaTheme="majorEastAsia" w:cs="Helvetica"/>
      <w:b/>
      <w:bCs/>
      <w:color w:val="0094A8"/>
      <w:sz w:val="36"/>
      <w:szCs w:val="36"/>
    </w:rPr>
  </w:style>
  <w:style w:type="paragraph" w:styleId="Heading3">
    <w:name w:val="heading 3"/>
    <w:basedOn w:val="Heading2"/>
    <w:next w:val="Normal"/>
    <w:link w:val="Heading3Char"/>
    <w:autoRedefine/>
    <w:uiPriority w:val="9"/>
    <w:qFormat/>
    <w:rsid w:val="00CF3B06"/>
    <w:pPr>
      <w:numPr>
        <w:ilvl w:val="2"/>
      </w:numPr>
      <w:spacing w:before="120" w:after="0"/>
      <w:outlineLvl w:val="2"/>
    </w:pPr>
    <w:rPr>
      <w:sz w:val="24"/>
      <w:szCs w:val="20"/>
    </w:rPr>
  </w:style>
  <w:style w:type="paragraph" w:styleId="Heading4">
    <w:name w:val="heading 4"/>
    <w:basedOn w:val="Heading3"/>
    <w:next w:val="Normal"/>
    <w:link w:val="Heading4Char"/>
    <w:uiPriority w:val="9"/>
    <w:qFormat/>
    <w:rsid w:val="00105CEF"/>
    <w:pPr>
      <w:numPr>
        <w:ilvl w:val="0"/>
      </w:numPr>
      <w:outlineLvl w:val="3"/>
    </w:pPr>
    <w:rPr>
      <w:sz w:val="20"/>
    </w:rPr>
  </w:style>
  <w:style w:type="paragraph" w:styleId="Heading5">
    <w:name w:val="heading 5"/>
    <w:basedOn w:val="Normal"/>
    <w:next w:val="Normal"/>
    <w:link w:val="Heading5Char"/>
    <w:uiPriority w:val="9"/>
    <w:rsid w:val="00105CEF"/>
    <w:pPr>
      <w:keepNext/>
      <w:keepLines/>
      <w:spacing w:line="240" w:lineRule="atLeast"/>
      <w:outlineLvl w:val="4"/>
    </w:pPr>
    <w:rPr>
      <w:spacing w:val="-4"/>
      <w:kern w:val="28"/>
    </w:rPr>
  </w:style>
  <w:style w:type="paragraph" w:styleId="Heading6">
    <w:name w:val="heading 6"/>
    <w:basedOn w:val="Normal"/>
    <w:next w:val="Normal"/>
    <w:link w:val="Heading6Char"/>
    <w:uiPriority w:val="9"/>
    <w:rsid w:val="00105CEF"/>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
    <w:rsid w:val="00105CEF"/>
    <w:pPr>
      <w:keepNext/>
      <w:keepLines/>
      <w:spacing w:before="140" w:line="220" w:lineRule="atLeast"/>
      <w:outlineLvl w:val="6"/>
    </w:pPr>
    <w:rPr>
      <w:spacing w:val="-4"/>
      <w:kern w:val="28"/>
    </w:rPr>
  </w:style>
  <w:style w:type="paragraph" w:styleId="Heading8">
    <w:name w:val="heading 8"/>
    <w:basedOn w:val="Normal"/>
    <w:next w:val="Normal"/>
    <w:link w:val="Heading8Char"/>
    <w:uiPriority w:val="9"/>
    <w:rsid w:val="00105CEF"/>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
    <w:rsid w:val="00105CEF"/>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96491"/>
    <w:rPr>
      <w:rFonts w:ascii="Helvetica" w:hAnsi="Helvetica" w:cs="Arial"/>
      <w:color w:val="FFFFFF" w:themeColor="background1"/>
      <w:sz w:val="72"/>
      <w:szCs w:val="72"/>
      <w:lang w:eastAsia="en-US"/>
    </w:rPr>
  </w:style>
  <w:style w:type="character" w:customStyle="1" w:styleId="Heading2Char">
    <w:name w:val="Heading 2 Char"/>
    <w:basedOn w:val="DefaultParagraphFont"/>
    <w:link w:val="Heading2"/>
    <w:uiPriority w:val="9"/>
    <w:locked/>
    <w:rsid w:val="00E96491"/>
    <w:rPr>
      <w:rFonts w:ascii="Helvetica" w:eastAsiaTheme="majorEastAsia" w:hAnsi="Helvetica" w:cs="Helvetica"/>
      <w:b/>
      <w:bCs/>
      <w:color w:val="0094A8"/>
      <w:sz w:val="36"/>
      <w:szCs w:val="36"/>
      <w:lang w:eastAsia="en-US"/>
    </w:rPr>
  </w:style>
  <w:style w:type="character" w:customStyle="1" w:styleId="Heading3Char">
    <w:name w:val="Heading 3 Char"/>
    <w:basedOn w:val="DefaultParagraphFont"/>
    <w:link w:val="Heading3"/>
    <w:uiPriority w:val="9"/>
    <w:locked/>
    <w:rsid w:val="00CF3B06"/>
    <w:rPr>
      <w:rFonts w:ascii="Helvetica" w:hAnsi="Helvetica" w:cs="Arial"/>
      <w:color w:val="0194A6"/>
      <w:sz w:val="24"/>
      <w:lang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BodyText">
    <w:name w:val="Body Text"/>
    <w:basedOn w:val="Normal"/>
    <w:link w:val="BodyTextChar"/>
    <w:uiPriority w:val="99"/>
    <w:rsid w:val="00105CEF"/>
  </w:style>
  <w:style w:type="character" w:customStyle="1" w:styleId="BodyTextChar">
    <w:name w:val="Body Text Char"/>
    <w:basedOn w:val="DefaultParagraphFont"/>
    <w:link w:val="BodyText"/>
    <w:uiPriority w:val="99"/>
    <w:semiHidden/>
    <w:locked/>
    <w:rPr>
      <w:rFonts w:ascii="Arial" w:hAnsi="Arial" w:cs="Times New Roman"/>
      <w:lang w:val="x-none" w:eastAsia="en-US"/>
    </w:rPr>
  </w:style>
  <w:style w:type="paragraph" w:customStyle="1" w:styleId="Captiontext">
    <w:name w:val="Caption text"/>
    <w:basedOn w:val="BodyText"/>
    <w:rsid w:val="00105CEF"/>
    <w:rPr>
      <w:sz w:val="16"/>
    </w:rPr>
  </w:style>
  <w:style w:type="character" w:customStyle="1" w:styleId="FWOBlue">
    <w:name w:val="FWO Blue"/>
    <w:basedOn w:val="DefaultParagraphFont"/>
    <w:rsid w:val="00105CEF"/>
    <w:rPr>
      <w:rFonts w:ascii="Arial" w:hAnsi="Arial" w:cs="Times New Roman"/>
      <w:color w:val="0084C2"/>
    </w:rPr>
  </w:style>
  <w:style w:type="paragraph" w:styleId="Header">
    <w:name w:val="header"/>
    <w:basedOn w:val="Normal"/>
    <w:link w:val="HeaderChar"/>
    <w:rsid w:val="00105CEF"/>
    <w:pPr>
      <w:tabs>
        <w:tab w:val="center" w:pos="4153"/>
        <w:tab w:val="right" w:pos="8306"/>
      </w:tabs>
      <w:spacing w:before="360"/>
      <w:jc w:val="center"/>
    </w:pPr>
    <w:rPr>
      <w:sz w:val="40"/>
      <w:szCs w:val="40"/>
    </w:rPr>
  </w:style>
  <w:style w:type="character" w:customStyle="1" w:styleId="HeaderChar">
    <w:name w:val="Header Char"/>
    <w:basedOn w:val="DefaultParagraphFont"/>
    <w:link w:val="Header"/>
    <w:uiPriority w:val="99"/>
    <w:locked/>
    <w:rPr>
      <w:rFonts w:ascii="Arial" w:hAnsi="Arial" w:cs="Times New Roman"/>
      <w:lang w:val="x-none" w:eastAsia="en-US"/>
    </w:rPr>
  </w:style>
  <w:style w:type="paragraph" w:customStyle="1" w:styleId="Subheading">
    <w:name w:val="Subheading"/>
    <w:basedOn w:val="BodyText"/>
    <w:rsid w:val="00105CEF"/>
    <w:rPr>
      <w:b/>
      <w:bCs/>
    </w:rPr>
  </w:style>
  <w:style w:type="paragraph" w:styleId="BalloonText">
    <w:name w:val="Balloon Text"/>
    <w:basedOn w:val="Normal"/>
    <w:link w:val="BalloonTextChar"/>
    <w:uiPriority w:val="99"/>
    <w:rsid w:val="00524C21"/>
    <w:rPr>
      <w:rFonts w:ascii="Tahoma" w:hAnsi="Tahoma" w:cs="Tahoma"/>
      <w:sz w:val="16"/>
      <w:szCs w:val="16"/>
    </w:rPr>
  </w:style>
  <w:style w:type="character" w:customStyle="1" w:styleId="BalloonTextChar">
    <w:name w:val="Balloon Text Char"/>
    <w:basedOn w:val="DefaultParagraphFont"/>
    <w:link w:val="BalloonText"/>
    <w:uiPriority w:val="99"/>
    <w:locked/>
    <w:rsid w:val="00524C21"/>
    <w:rPr>
      <w:rFonts w:ascii="Tahoma" w:hAnsi="Tahoma" w:cs="Tahoma"/>
      <w:sz w:val="16"/>
      <w:szCs w:val="16"/>
      <w:lang w:val="x-none" w:eastAsia="en-US"/>
    </w:rPr>
  </w:style>
  <w:style w:type="paragraph" w:customStyle="1" w:styleId="TableText">
    <w:name w:val="TableText"/>
    <w:basedOn w:val="Normal"/>
    <w:rsid w:val="00105CEF"/>
    <w:pPr>
      <w:spacing w:before="40" w:after="40"/>
    </w:pPr>
    <w:rPr>
      <w:lang w:eastAsia="en-AU"/>
    </w:rPr>
  </w:style>
  <w:style w:type="paragraph" w:customStyle="1" w:styleId="Tabletextheading">
    <w:name w:val="Table text heading"/>
    <w:basedOn w:val="TableText"/>
    <w:rsid w:val="00105CEF"/>
    <w:rPr>
      <w:b/>
      <w:bCs/>
    </w:rPr>
  </w:style>
  <w:style w:type="paragraph" w:styleId="Title">
    <w:name w:val="Title"/>
    <w:basedOn w:val="Normal"/>
    <w:next w:val="Normal"/>
    <w:link w:val="TitleChar"/>
    <w:uiPriority w:val="10"/>
    <w:rsid w:val="00105CEF"/>
    <w:rPr>
      <w:noProof/>
      <w:color w:val="0084C2"/>
      <w:sz w:val="72"/>
      <w:szCs w:val="72"/>
      <w:lang w:eastAsia="en-AU"/>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TOC1">
    <w:name w:val="toc 1"/>
    <w:basedOn w:val="Normal"/>
    <w:autoRedefine/>
    <w:uiPriority w:val="39"/>
    <w:rsid w:val="00105CEF"/>
    <w:pPr>
      <w:tabs>
        <w:tab w:val="left" w:pos="1560"/>
        <w:tab w:val="right" w:leader="dot" w:pos="8789"/>
      </w:tabs>
      <w:ind w:left="851" w:right="814"/>
    </w:pPr>
    <w:rPr>
      <w:spacing w:val="-4"/>
    </w:rPr>
  </w:style>
  <w:style w:type="paragraph" w:styleId="TOC2">
    <w:name w:val="toc 2"/>
    <w:basedOn w:val="Normal"/>
    <w:autoRedefine/>
    <w:uiPriority w:val="39"/>
    <w:rsid w:val="00105CEF"/>
    <w:pPr>
      <w:tabs>
        <w:tab w:val="left" w:pos="1701"/>
        <w:tab w:val="right" w:leader="dot" w:pos="8789"/>
      </w:tabs>
      <w:ind w:left="992"/>
    </w:pPr>
  </w:style>
  <w:style w:type="paragraph" w:styleId="Caption">
    <w:name w:val="caption"/>
    <w:basedOn w:val="Normal"/>
    <w:next w:val="Normal"/>
    <w:uiPriority w:val="35"/>
    <w:rsid w:val="00105CEF"/>
    <w:pPr>
      <w:keepNext/>
      <w:numPr>
        <w:numId w:val="2"/>
      </w:numPr>
      <w:spacing w:before="60" w:after="240" w:line="220" w:lineRule="atLeast"/>
    </w:pPr>
    <w:rPr>
      <w:rFonts w:ascii="Arial Narrow" w:hAnsi="Arial Narrow"/>
      <w:sz w:val="18"/>
    </w:rPr>
  </w:style>
  <w:style w:type="paragraph" w:styleId="DocumentMap">
    <w:name w:val="Document Map"/>
    <w:basedOn w:val="Normal"/>
    <w:link w:val="DocumentMapChar"/>
    <w:uiPriority w:val="99"/>
    <w:semiHidden/>
    <w:rsid w:val="00105CE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Dotpoint">
    <w:name w:val="Dotpoint"/>
    <w:basedOn w:val="Normal"/>
    <w:semiHidden/>
    <w:locked/>
    <w:rsid w:val="00105CEF"/>
    <w:pPr>
      <w:numPr>
        <w:numId w:val="3"/>
      </w:numPr>
    </w:pPr>
  </w:style>
  <w:style w:type="paragraph" w:customStyle="1" w:styleId="Dotpointtable">
    <w:name w:val="Dotpoint table"/>
    <w:basedOn w:val="TableText"/>
    <w:semiHidden/>
    <w:locked/>
    <w:rsid w:val="00105CEF"/>
    <w:pPr>
      <w:numPr>
        <w:numId w:val="4"/>
      </w:numPr>
      <w:spacing w:before="60" w:after="60"/>
    </w:pPr>
    <w:rPr>
      <w:bCs/>
      <w:sz w:val="18"/>
      <w:szCs w:val="28"/>
    </w:rPr>
  </w:style>
  <w:style w:type="paragraph" w:customStyle="1" w:styleId="ExampleText">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105CEF"/>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lang w:val="x-none" w:eastAsia="en-US"/>
    </w:rPr>
  </w:style>
  <w:style w:type="character" w:styleId="Hyperlink">
    <w:name w:val="Hyperlink"/>
    <w:basedOn w:val="DefaultParagraphFont"/>
    <w:uiPriority w:val="99"/>
    <w:rsid w:val="00105CEF"/>
    <w:rPr>
      <w:rFonts w:ascii="Arial" w:hAnsi="Arial" w:cs="Times New Roman"/>
      <w:color w:val="0000FF"/>
      <w:u w:val="single"/>
    </w:rPr>
  </w:style>
  <w:style w:type="table" w:styleId="TableGrid">
    <w:name w:val="Table Grid"/>
    <w:basedOn w:val="TableNormal"/>
    <w:uiPriority w:val="39"/>
    <w:rsid w:val="00105CE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autoRedefine/>
    <w:uiPriority w:val="39"/>
    <w:rsid w:val="00105CEF"/>
    <w:pPr>
      <w:tabs>
        <w:tab w:val="left" w:pos="1985"/>
        <w:tab w:val="right" w:leader="dot" w:pos="9629"/>
      </w:tabs>
      <w:ind w:left="360"/>
    </w:pPr>
  </w:style>
  <w:style w:type="paragraph" w:styleId="TOC4">
    <w:name w:val="toc 4"/>
    <w:basedOn w:val="Normal"/>
    <w:autoRedefine/>
    <w:uiPriority w:val="39"/>
    <w:semiHidden/>
    <w:rsid w:val="00105CEF"/>
    <w:pPr>
      <w:ind w:left="360"/>
    </w:pPr>
  </w:style>
  <w:style w:type="paragraph" w:styleId="TOC5">
    <w:name w:val="toc 5"/>
    <w:basedOn w:val="Normal"/>
    <w:autoRedefine/>
    <w:uiPriority w:val="39"/>
    <w:semiHidden/>
    <w:rsid w:val="00105CEF"/>
    <w:pPr>
      <w:ind w:left="360"/>
    </w:pPr>
  </w:style>
  <w:style w:type="character" w:customStyle="1" w:styleId="Subtitlered">
    <w:name w:val="Subtitle red"/>
    <w:basedOn w:val="DefaultParagraphFont"/>
    <w:rsid w:val="00E601F8"/>
    <w:rPr>
      <w:rFonts w:ascii="Arial" w:hAnsi="Arial" w:cs="Times New Roman"/>
      <w:color w:val="872434"/>
      <w:sz w:val="32"/>
    </w:rPr>
  </w:style>
  <w:style w:type="character" w:styleId="PageNumber">
    <w:name w:val="page number"/>
    <w:basedOn w:val="DefaultParagraphFont"/>
    <w:uiPriority w:val="99"/>
    <w:rsid w:val="00181475"/>
    <w:rPr>
      <w:rFonts w:ascii="Arial" w:hAnsi="Arial" w:cs="Times New Roman"/>
    </w:rPr>
  </w:style>
  <w:style w:type="paragraph" w:styleId="TOCHeading">
    <w:name w:val="TOC Heading"/>
    <w:basedOn w:val="Heading1"/>
    <w:next w:val="Normal"/>
    <w:uiPriority w:val="39"/>
    <w:unhideWhenUsed/>
    <w:rsid w:val="001F20C3"/>
    <w:pPr>
      <w:spacing w:before="480" w:after="0" w:line="276" w:lineRule="auto"/>
      <w:outlineLvl w:val="9"/>
    </w:pPr>
    <w:rPr>
      <w:rFonts w:asciiTheme="majorHAnsi" w:eastAsiaTheme="majorEastAsia" w:hAnsiTheme="majorHAnsi"/>
      <w:bCs/>
      <w:color w:val="365F91" w:themeColor="accent1" w:themeShade="BF"/>
      <w:szCs w:val="28"/>
      <w:lang w:val="en-US" w:eastAsia="ja-JP"/>
    </w:rPr>
  </w:style>
  <w:style w:type="character" w:styleId="CommentReference">
    <w:name w:val="annotation reference"/>
    <w:basedOn w:val="DefaultParagraphFont"/>
    <w:uiPriority w:val="99"/>
    <w:rsid w:val="00B0742B"/>
    <w:rPr>
      <w:rFonts w:cs="Times New Roman"/>
      <w:sz w:val="16"/>
      <w:szCs w:val="16"/>
    </w:rPr>
  </w:style>
  <w:style w:type="paragraph" w:styleId="CommentText">
    <w:name w:val="annotation text"/>
    <w:basedOn w:val="Normal"/>
    <w:link w:val="CommentTextChar"/>
    <w:uiPriority w:val="99"/>
    <w:rsid w:val="00B0742B"/>
  </w:style>
  <w:style w:type="character" w:customStyle="1" w:styleId="CommentTextChar">
    <w:name w:val="Comment Text Char"/>
    <w:basedOn w:val="DefaultParagraphFont"/>
    <w:link w:val="CommentText"/>
    <w:uiPriority w:val="99"/>
    <w:locked/>
    <w:rsid w:val="00B0742B"/>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B0742B"/>
    <w:rPr>
      <w:b/>
      <w:bCs/>
    </w:rPr>
  </w:style>
  <w:style w:type="character" w:customStyle="1" w:styleId="CommentSubjectChar">
    <w:name w:val="Comment Subject Char"/>
    <w:basedOn w:val="CommentTextChar"/>
    <w:link w:val="CommentSubject"/>
    <w:uiPriority w:val="99"/>
    <w:locked/>
    <w:rsid w:val="00B0742B"/>
    <w:rPr>
      <w:rFonts w:ascii="Arial" w:hAnsi="Arial" w:cs="Times New Roman"/>
      <w:b/>
      <w:bCs/>
      <w:lang w:val="x-none" w:eastAsia="en-US"/>
    </w:rPr>
  </w:style>
  <w:style w:type="paragraph" w:styleId="ListParagraph">
    <w:name w:val="List Paragraph"/>
    <w:aliases w:val="Brief List Paragraph 1,Body Numbering"/>
    <w:basedOn w:val="Normal"/>
    <w:uiPriority w:val="34"/>
    <w:qFormat/>
    <w:rsid w:val="00057AE4"/>
    <w:pPr>
      <w:ind w:left="720"/>
      <w:contextualSpacing/>
    </w:pPr>
  </w:style>
  <w:style w:type="paragraph" w:styleId="FootnoteText">
    <w:name w:val="footnote text"/>
    <w:basedOn w:val="Normal"/>
    <w:link w:val="FootnoteTextChar"/>
    <w:uiPriority w:val="99"/>
    <w:rsid w:val="007B16EE"/>
  </w:style>
  <w:style w:type="character" w:customStyle="1" w:styleId="FootnoteTextChar">
    <w:name w:val="Footnote Text Char"/>
    <w:basedOn w:val="DefaultParagraphFont"/>
    <w:link w:val="FootnoteText"/>
    <w:uiPriority w:val="99"/>
    <w:locked/>
    <w:rsid w:val="007B16EE"/>
    <w:rPr>
      <w:rFonts w:ascii="Arial" w:hAnsi="Arial" w:cs="Times New Roman"/>
      <w:lang w:val="x-none" w:eastAsia="en-US"/>
    </w:rPr>
  </w:style>
  <w:style w:type="character" w:styleId="FootnoteReference">
    <w:name w:val="footnote reference"/>
    <w:basedOn w:val="DefaultParagraphFont"/>
    <w:uiPriority w:val="99"/>
    <w:rsid w:val="007B16EE"/>
    <w:rPr>
      <w:rFonts w:cs="Times New Roman"/>
      <w:vertAlign w:val="superscript"/>
    </w:rPr>
  </w:style>
  <w:style w:type="numbering" w:customStyle="1" w:styleId="Numberletterbullets">
    <w:name w:val="Number/letter bullets"/>
    <w:pPr>
      <w:numPr>
        <w:numId w:val="5"/>
      </w:numPr>
    </w:pPr>
  </w:style>
  <w:style w:type="numbering" w:customStyle="1" w:styleId="BulletLevel1">
    <w:name w:val="Bullet Level 1"/>
    <w:pPr>
      <w:numPr>
        <w:numId w:val="1"/>
      </w:numPr>
    </w:pPr>
  </w:style>
  <w:style w:type="paragraph" w:customStyle="1" w:styleId="Sub-title">
    <w:name w:val="Sub-title"/>
    <w:basedOn w:val="Heading1"/>
    <w:link w:val="Sub-titleChar"/>
    <w:rsid w:val="000E37AC"/>
    <w:rPr>
      <w:szCs w:val="28"/>
    </w:rPr>
  </w:style>
  <w:style w:type="paragraph" w:customStyle="1" w:styleId="Fronttitle">
    <w:name w:val="Front title"/>
    <w:basedOn w:val="Heading1"/>
    <w:link w:val="FronttitleChar"/>
    <w:rsid w:val="000E37AC"/>
    <w:pPr>
      <w:spacing w:before="3600"/>
    </w:pPr>
    <w:rPr>
      <w:sz w:val="56"/>
    </w:rPr>
  </w:style>
  <w:style w:type="character" w:customStyle="1" w:styleId="Sub-titleChar">
    <w:name w:val="Sub-title Char"/>
    <w:basedOn w:val="Heading1Char"/>
    <w:link w:val="Sub-title"/>
    <w:rsid w:val="000E37AC"/>
    <w:rPr>
      <w:rFonts w:ascii="Arial" w:hAnsi="Arial" w:cs="Arial"/>
      <w:b w:val="0"/>
      <w:color w:val="548DD4" w:themeColor="text2" w:themeTint="99"/>
      <w:sz w:val="28"/>
      <w:szCs w:val="28"/>
      <w:lang w:eastAsia="en-US"/>
    </w:rPr>
  </w:style>
  <w:style w:type="paragraph" w:customStyle="1" w:styleId="Casestudytitle">
    <w:name w:val="Case study title"/>
    <w:basedOn w:val="Sub-title"/>
    <w:link w:val="CasestudytitleChar"/>
    <w:autoRedefine/>
    <w:qFormat/>
    <w:rsid w:val="000D29E1"/>
    <w:pPr>
      <w:ind w:left="720"/>
    </w:pPr>
    <w:rPr>
      <w:sz w:val="36"/>
    </w:rPr>
  </w:style>
  <w:style w:type="character" w:customStyle="1" w:styleId="FronttitleChar">
    <w:name w:val="Front title Char"/>
    <w:basedOn w:val="Heading1Char"/>
    <w:link w:val="Fronttitle"/>
    <w:rsid w:val="000E37AC"/>
    <w:rPr>
      <w:rFonts w:ascii="Arial" w:hAnsi="Arial" w:cs="Arial"/>
      <w:b w:val="0"/>
      <w:color w:val="548DD4" w:themeColor="text2" w:themeTint="99"/>
      <w:sz w:val="56"/>
      <w:szCs w:val="26"/>
      <w:lang w:eastAsia="en-US"/>
    </w:rPr>
  </w:style>
  <w:style w:type="paragraph" w:customStyle="1" w:styleId="Casestudytext">
    <w:name w:val="Case study text"/>
    <w:basedOn w:val="Normal"/>
    <w:link w:val="CasestudytextChar"/>
    <w:qFormat/>
    <w:rsid w:val="00CF3B06"/>
    <w:pPr>
      <w:ind w:left="720"/>
    </w:pPr>
  </w:style>
  <w:style w:type="character" w:customStyle="1" w:styleId="CasestudytitleChar">
    <w:name w:val="Case study title Char"/>
    <w:basedOn w:val="Sub-titleChar"/>
    <w:link w:val="Casestudytitle"/>
    <w:rsid w:val="000D29E1"/>
    <w:rPr>
      <w:rFonts w:ascii="Helvetica" w:hAnsi="Helvetica" w:cs="Arial"/>
      <w:b w:val="0"/>
      <w:color w:val="0194A6"/>
      <w:sz w:val="36"/>
      <w:szCs w:val="28"/>
      <w:lang w:eastAsia="en-US"/>
    </w:rPr>
  </w:style>
  <w:style w:type="character" w:customStyle="1" w:styleId="CasestudytextChar">
    <w:name w:val="Case study text Char"/>
    <w:basedOn w:val="DefaultParagraphFont"/>
    <w:link w:val="Casestudytext"/>
    <w:rsid w:val="00CF3B06"/>
    <w:rPr>
      <w:rFonts w:ascii="Helvetica" w:hAnsi="Helvetica" w:cs="Arial"/>
      <w:sz w:val="22"/>
      <w:szCs w:val="24"/>
      <w:lang w:eastAsia="en-US"/>
    </w:rPr>
  </w:style>
  <w:style w:type="paragraph" w:customStyle="1" w:styleId="CoverReportTitle">
    <w:name w:val="Cover Report Title"/>
    <w:basedOn w:val="Normal"/>
    <w:autoRedefine/>
    <w:qFormat/>
    <w:rsid w:val="00602CBE"/>
    <w:pPr>
      <w:framePr w:w="4820" w:wrap="around" w:vAnchor="page" w:hAnchor="text" w:x="5388" w:y="795"/>
      <w:spacing w:before="4440" w:after="2400" w:line="480" w:lineRule="auto"/>
      <w:jc w:val="left"/>
    </w:pPr>
    <w:rPr>
      <w:rFonts w:eastAsiaTheme="minorHAnsi" w:cs="Times New Roman"/>
      <w:color w:val="FFFFFF" w:themeColor="background1"/>
      <w:sz w:val="60"/>
      <w:szCs w:val="22"/>
    </w:rPr>
  </w:style>
  <w:style w:type="paragraph" w:customStyle="1" w:styleId="CoverReportSubTitle">
    <w:name w:val="Cover Report Sub Title"/>
    <w:basedOn w:val="CoverReportTitle"/>
    <w:next w:val="Normal"/>
    <w:autoRedefine/>
    <w:qFormat/>
    <w:rsid w:val="00602CBE"/>
    <w:pPr>
      <w:framePr w:w="0" w:wrap="auto" w:vAnchor="margin" w:xAlign="left" w:yAlign="inline"/>
      <w:spacing w:before="113" w:after="57" w:line="400" w:lineRule="exact"/>
    </w:pPr>
    <w:rPr>
      <w:color w:val="auto"/>
      <w:sz w:val="36"/>
    </w:rPr>
  </w:style>
  <w:style w:type="paragraph" w:customStyle="1" w:styleId="Bullet">
    <w:name w:val="Bullet"/>
    <w:basedOn w:val="Normal"/>
    <w:autoRedefine/>
    <w:qFormat/>
    <w:rsid w:val="00CF3B06"/>
    <w:pPr>
      <w:numPr>
        <w:numId w:val="6"/>
      </w:numPr>
      <w:spacing w:after="28" w:line="320" w:lineRule="exact"/>
      <w:jc w:val="left"/>
    </w:pPr>
    <w:rPr>
      <w:rFonts w:eastAsiaTheme="minorHAnsi" w:cs="Times New Roman"/>
      <w:szCs w:val="22"/>
    </w:rPr>
  </w:style>
  <w:style w:type="paragraph" w:customStyle="1" w:styleId="Calloutbox">
    <w:name w:val="Callout box"/>
    <w:basedOn w:val="Normal"/>
    <w:next w:val="Normal"/>
    <w:link w:val="CalloutboxChar"/>
    <w:autoRedefine/>
    <w:qFormat/>
    <w:rsid w:val="00357D51"/>
    <w:pPr>
      <w:pBdr>
        <w:top w:val="single" w:sz="48" w:space="3" w:color="DDDDDD"/>
        <w:left w:val="single" w:sz="48" w:space="8" w:color="DDDDDD"/>
        <w:bottom w:val="single" w:sz="48" w:space="6" w:color="DDDDDD"/>
        <w:right w:val="single" w:sz="48" w:space="8" w:color="DDDDDD"/>
      </w:pBdr>
      <w:shd w:val="clear" w:color="auto" w:fill="DDDDDD"/>
      <w:spacing w:before="240" w:after="113" w:line="320" w:lineRule="exact"/>
      <w:ind w:left="284" w:right="284"/>
      <w:contextualSpacing/>
      <w:jc w:val="left"/>
    </w:pPr>
    <w:rPr>
      <w:rFonts w:eastAsiaTheme="minorHAnsi" w:cs="Times New Roman"/>
      <w:szCs w:val="22"/>
    </w:rPr>
  </w:style>
  <w:style w:type="character" w:styleId="IntenseEmphasis">
    <w:name w:val="Intense Emphasis"/>
    <w:aliases w:val="Figure Heading"/>
    <w:basedOn w:val="DefaultParagraphFont"/>
    <w:uiPriority w:val="21"/>
    <w:rsid w:val="004B2104"/>
    <w:rPr>
      <w:rFonts w:ascii="Arial" w:hAnsi="Arial"/>
      <w:b/>
      <w:bCs/>
      <w:i w:val="0"/>
      <w:iCs/>
      <w:color w:val="000000" w:themeColor="text1"/>
      <w:sz w:val="22"/>
    </w:rPr>
  </w:style>
  <w:style w:type="paragraph" w:customStyle="1" w:styleId="GlanceYellowHeading">
    <w:name w:val="Glance Yellow Heading"/>
    <w:basedOn w:val="Normal"/>
    <w:next w:val="GlanceHeading"/>
    <w:autoRedefine/>
    <w:qFormat/>
    <w:rsid w:val="00A46F23"/>
    <w:pPr>
      <w:pBdr>
        <w:top w:val="single" w:sz="48" w:space="1" w:color="BFBFBF" w:themeColor="background1" w:themeShade="BF"/>
      </w:pBdr>
      <w:shd w:val="clear" w:color="auto" w:fill="FFFFFF" w:themeFill="background1"/>
      <w:spacing w:after="0"/>
      <w:contextualSpacing/>
      <w:jc w:val="center"/>
      <w:textboxTightWrap w:val="allLines"/>
    </w:pPr>
    <w:rPr>
      <w:rFonts w:eastAsiaTheme="minorHAnsi" w:cs="Times New Roman"/>
      <w:color w:val="0194A6"/>
      <w:spacing w:val="-10"/>
      <w:sz w:val="56"/>
      <w:szCs w:val="22"/>
    </w:rPr>
  </w:style>
  <w:style w:type="paragraph" w:customStyle="1" w:styleId="GlanceHeading">
    <w:name w:val="Glance Heading"/>
    <w:basedOn w:val="Normal"/>
    <w:next w:val="GlanceBody"/>
    <w:autoRedefine/>
    <w:qFormat/>
    <w:rsid w:val="00CF3B06"/>
    <w:pPr>
      <w:keepNext/>
      <w:keepLines/>
      <w:widowControl w:val="0"/>
      <w:spacing w:after="0" w:line="240" w:lineRule="auto"/>
      <w:jc w:val="center"/>
      <w:textboxTightWrap w:val="allLines"/>
    </w:pPr>
    <w:rPr>
      <w:rFonts w:eastAsiaTheme="minorHAnsi" w:cs="Times New Roman"/>
      <w:b/>
      <w:color w:val="0194A6"/>
      <w:sz w:val="96"/>
      <w:szCs w:val="22"/>
    </w:rPr>
  </w:style>
  <w:style w:type="paragraph" w:customStyle="1" w:styleId="GlanceBody">
    <w:name w:val="Glance Body"/>
    <w:basedOn w:val="Normal"/>
    <w:autoRedefine/>
    <w:qFormat/>
    <w:rsid w:val="00CF3B06"/>
    <w:pPr>
      <w:pBdr>
        <w:bottom w:val="single" w:sz="2" w:space="8" w:color="BFBFBF" w:themeColor="background1" w:themeShade="BF"/>
      </w:pBdr>
      <w:spacing w:after="113" w:line="240" w:lineRule="auto"/>
      <w:jc w:val="center"/>
    </w:pPr>
    <w:rPr>
      <w:rFonts w:eastAsiaTheme="minorHAnsi" w:cs="Times New Roman"/>
      <w:szCs w:val="22"/>
    </w:rPr>
  </w:style>
  <w:style w:type="paragraph" w:customStyle="1" w:styleId="CoverReportTitle1">
    <w:name w:val="Cover Report Title1"/>
    <w:basedOn w:val="Normal"/>
    <w:next w:val="CoverReportTitle"/>
    <w:rsid w:val="00205DBE"/>
    <w:pPr>
      <w:framePr w:w="4820" w:wrap="around" w:vAnchor="page" w:hAnchor="text" w:x="5388" w:y="795"/>
      <w:spacing w:after="0" w:line="560" w:lineRule="exact"/>
      <w:jc w:val="left"/>
    </w:pPr>
    <w:rPr>
      <w:rFonts w:ascii="Fair Work" w:eastAsiaTheme="minorHAnsi" w:hAnsi="Fair Work" w:cs="Times New Roman"/>
      <w:color w:val="007CBA"/>
      <w:sz w:val="60"/>
      <w:szCs w:val="22"/>
    </w:rPr>
  </w:style>
  <w:style w:type="paragraph" w:customStyle="1" w:styleId="GreyBubbleBox1">
    <w:name w:val="Grey  Bubble Box1"/>
    <w:basedOn w:val="Normal"/>
    <w:next w:val="Normal"/>
    <w:autoRedefine/>
    <w:qFormat/>
    <w:rsid w:val="00A46F23"/>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jc w:val="left"/>
    </w:pPr>
    <w:rPr>
      <w:rFonts w:eastAsiaTheme="minorHAnsi" w:cs="Times New Roman"/>
      <w:szCs w:val="22"/>
    </w:rPr>
  </w:style>
  <w:style w:type="character" w:styleId="Emphasis">
    <w:name w:val="Emphasis"/>
    <w:basedOn w:val="DefaultParagraphFont"/>
    <w:rsid w:val="00CF3B06"/>
    <w:rPr>
      <w:i/>
      <w:iCs/>
    </w:rPr>
  </w:style>
  <w:style w:type="character" w:styleId="Strong">
    <w:name w:val="Strong"/>
    <w:basedOn w:val="DefaultParagraphFont"/>
    <w:rsid w:val="00CF3B06"/>
    <w:rPr>
      <w:b/>
      <w:bCs/>
    </w:rPr>
  </w:style>
  <w:style w:type="paragraph" w:styleId="Subtitle">
    <w:name w:val="Subtitle"/>
    <w:basedOn w:val="Normal"/>
    <w:next w:val="Normal"/>
    <w:link w:val="SubtitleChar"/>
    <w:rsid w:val="00CF3B0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F3B06"/>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CF3B06"/>
    <w:pPr>
      <w:jc w:val="both"/>
    </w:pPr>
    <w:rPr>
      <w:rFonts w:ascii="Arial" w:hAnsi="Arial" w:cs="Arial"/>
      <w:sz w:val="24"/>
      <w:szCs w:val="24"/>
      <w:lang w:eastAsia="en-US"/>
    </w:rPr>
  </w:style>
  <w:style w:type="paragraph" w:styleId="Quote">
    <w:name w:val="Quote"/>
    <w:basedOn w:val="Normal"/>
    <w:next w:val="Normal"/>
    <w:link w:val="QuoteChar"/>
    <w:uiPriority w:val="29"/>
    <w:qFormat/>
    <w:rsid w:val="00CF3B06"/>
    <w:rPr>
      <w:i/>
      <w:iCs/>
      <w:color w:val="000000" w:themeColor="text1"/>
    </w:rPr>
  </w:style>
  <w:style w:type="character" w:customStyle="1" w:styleId="QuoteChar">
    <w:name w:val="Quote Char"/>
    <w:basedOn w:val="DefaultParagraphFont"/>
    <w:link w:val="Quote"/>
    <w:uiPriority w:val="29"/>
    <w:rsid w:val="00CF3B06"/>
    <w:rPr>
      <w:rFonts w:ascii="Arial" w:hAnsi="Arial" w:cs="Arial"/>
      <w:i/>
      <w:iCs/>
      <w:color w:val="000000" w:themeColor="text1"/>
      <w:sz w:val="24"/>
      <w:szCs w:val="24"/>
      <w:lang w:eastAsia="en-US"/>
    </w:rPr>
  </w:style>
  <w:style w:type="paragraph" w:customStyle="1" w:styleId="CalloutBoxHeading">
    <w:name w:val="Callout Box Heading"/>
    <w:basedOn w:val="Calloutbox"/>
    <w:link w:val="CalloutBoxHeadingChar"/>
    <w:autoRedefine/>
    <w:qFormat/>
    <w:rsid w:val="003B62FE"/>
    <w:rPr>
      <w:b/>
      <w:sz w:val="24"/>
    </w:rPr>
  </w:style>
  <w:style w:type="character" w:customStyle="1" w:styleId="CalloutboxChar">
    <w:name w:val="Callout box Char"/>
    <w:basedOn w:val="DefaultParagraphFont"/>
    <w:link w:val="Calloutbox"/>
    <w:rsid w:val="00357D51"/>
    <w:rPr>
      <w:rFonts w:ascii="Helvetica" w:eastAsiaTheme="minorHAnsi" w:hAnsi="Helvetica"/>
      <w:sz w:val="22"/>
      <w:szCs w:val="22"/>
      <w:shd w:val="clear" w:color="auto" w:fill="DDDDDD"/>
      <w:lang w:eastAsia="en-US"/>
    </w:rPr>
  </w:style>
  <w:style w:type="character" w:customStyle="1" w:styleId="CalloutBoxHeadingChar">
    <w:name w:val="Callout Box Heading Char"/>
    <w:basedOn w:val="CalloutboxChar"/>
    <w:link w:val="CalloutBoxHeading"/>
    <w:rsid w:val="003B62FE"/>
    <w:rPr>
      <w:rFonts w:ascii="Helvetica" w:eastAsiaTheme="minorHAnsi" w:hAnsi="Helvetica"/>
      <w:b/>
      <w:color w:val="FFFFFF" w:themeColor="background1"/>
      <w:sz w:val="24"/>
      <w:szCs w:val="22"/>
      <w:shd w:val="clear" w:color="auto" w:fill="017F8F"/>
      <w:lang w:eastAsia="en-US"/>
    </w:rPr>
  </w:style>
  <w:style w:type="paragraph" w:customStyle="1" w:styleId="Calloutbox1">
    <w:name w:val="Callout box1"/>
    <w:basedOn w:val="Normal"/>
    <w:next w:val="Normal"/>
    <w:autoRedefine/>
    <w:qFormat/>
    <w:rsid w:val="00E73829"/>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jc w:val="left"/>
    </w:pPr>
    <w:rPr>
      <w:rFonts w:eastAsiaTheme="minorHAnsi" w:cs="Times New Roman"/>
      <w:color w:val="FFFFFF" w:themeColor="background1"/>
      <w:szCs w:val="22"/>
    </w:rPr>
  </w:style>
  <w:style w:type="paragraph" w:customStyle="1" w:styleId="GlanceYellowHeading1">
    <w:name w:val="Glance Yellow Heading1"/>
    <w:basedOn w:val="Normal"/>
    <w:next w:val="GlanceHeading"/>
    <w:autoRedefine/>
    <w:rsid w:val="00CF3B06"/>
    <w:pPr>
      <w:pBdr>
        <w:top w:val="single" w:sz="48" w:space="1" w:color="BFBFBF" w:themeColor="background1" w:themeShade="BF"/>
      </w:pBdr>
      <w:shd w:val="clear" w:color="auto" w:fill="E5E5E5"/>
      <w:spacing w:after="0"/>
      <w:contextualSpacing/>
      <w:jc w:val="center"/>
      <w:textboxTightWrap w:val="allLines"/>
    </w:pPr>
    <w:rPr>
      <w:rFonts w:eastAsiaTheme="minorHAnsi" w:cs="Times New Roman"/>
      <w:color w:val="10C9DE"/>
      <w:spacing w:val="-10"/>
      <w:sz w:val="56"/>
      <w:szCs w:val="22"/>
    </w:rPr>
  </w:style>
  <w:style w:type="paragraph" w:customStyle="1" w:styleId="TableParagraph">
    <w:name w:val="Table Paragraph"/>
    <w:basedOn w:val="Normal"/>
    <w:uiPriority w:val="1"/>
    <w:qFormat/>
    <w:rsid w:val="00E96491"/>
    <w:pPr>
      <w:widowControl w:val="0"/>
      <w:autoSpaceDE w:val="0"/>
      <w:autoSpaceDN w:val="0"/>
      <w:spacing w:after="0" w:line="240" w:lineRule="auto"/>
      <w:jc w:val="left"/>
    </w:pPr>
    <w:rPr>
      <w:rFonts w:ascii="Myriad Pro" w:eastAsia="Myriad Pro" w:hAnsi="Myriad Pro" w:cs="Myriad Pro"/>
      <w:sz w:val="18"/>
      <w:szCs w:val="22"/>
      <w:lang w:val="en-US"/>
    </w:rPr>
  </w:style>
  <w:style w:type="table" w:customStyle="1" w:styleId="TableGrid1">
    <w:name w:val="Table Grid1"/>
    <w:basedOn w:val="TableNormal"/>
    <w:next w:val="TableGrid"/>
    <w:uiPriority w:val="39"/>
    <w:rsid w:val="00E96491"/>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apsc.gov.au/publications-and-media/current-publications/gender-equality-strateg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malechampionsofchange.com/wp-content/uploads/2016/04/The-Panel-Pledge.pdf"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g.gov.au/Publications/Pages/AustralianGovernmentGuidelinesontheRecognitionofSexandGender.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WO_DocSecurityClassification xmlns="27F3C0FC-B9AC-46DC-A3F5-BA770269C636">Unclassified</FWO_DocSecurityClassification>
    <FWO_TRIM_DLM xmlns="27F3C0FC-B9AC-46DC-A3F5-BA770269C636" xsi:nil="true"/>
    <FWO_TRIM_SecurityClassification xmlns="27F3C0FC-B9AC-46DC-A3F5-BA770269C636">Unclassified</FWO_TRIM_SecurityClassification>
    <FWO_BCSTaxHTField0 xmlns="27F3C0FC-B9AC-46DC-A3F5-BA770269C636">
      <Terms xmlns="http://schemas.microsoft.com/office/infopath/2007/PartnerControls">
        <TermInfo xmlns="http://schemas.microsoft.com/office/infopath/2007/PartnerControls">
          <TermName xmlns="http://schemas.microsoft.com/office/infopath/2007/PartnerControls">Policy ＆ Procedures</TermName>
          <TermId xmlns="http://schemas.microsoft.com/office/infopath/2007/PartnerControls">f049cccf-b034-4369-9eaf-8303882e76e4</TermId>
        </TermInfo>
      </Terms>
    </FWO_BCSTaxHTField0>
    <FWO_DOCStatus xmlns="27F3C0FC-B9AC-46DC-A3F5-BA770269C636">Draft</FWO_DOCStatus>
    <FWO_EnterpriseKeywordTaxHTField0 xmlns="27F3C0FC-B9AC-46DC-A3F5-BA770269C636">
      <Terms xmlns="http://schemas.microsoft.com/office/infopath/2007/PartnerControls"/>
    </FWO_EnterpriseKeywordTaxHTField0>
    <FWO_DocumentTopicTaxHTField0 xmlns="27F3C0FC-B9AC-46DC-A3F5-BA770269C636">
      <Terms xmlns="http://schemas.microsoft.com/office/infopath/2007/PartnerControls">
        <TermInfo xmlns="http://schemas.microsoft.com/office/infopath/2007/PartnerControls">
          <TermName xmlns="http://schemas.microsoft.com/office/infopath/2007/PartnerControls">Diversity</TermName>
          <TermId xmlns="http://schemas.microsoft.com/office/infopath/2007/PartnerControls">8190ba76-7aff-42bd-ae1e-e163f75a28ef</TermId>
        </TermInfo>
      </Terms>
    </FWO_DocumentTopicTaxHTField0>
    <_dlc_DocId xmlns="5f08c1bb-72a5-41c0-a316-473e98d58e01">DB-1114293</_dlc_DocId>
    <_dlc_DocIdUrl xmlns="5f08c1bb-72a5-41c0-a316-473e98d58e01">
      <Url>http://fwocollaboration.hosts.application.enet/sites/b9/diversity/_layouts/15/DocIdRedir.aspx?ID=DB-1114293</Url>
      <Description>DB-1114293</Description>
    </_dlc_DocIdUr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A439F7C79F46CA48854C8039AAEB3E8D" ma:contentTypeVersion="0" ma:contentTypeDescription="Document with BCS Classification" ma:contentTypeScope="" ma:versionID="f2742bd0aaacfa019f7d703784cebadd">
  <xsd:schema xmlns:xsd="http://www.w3.org/2001/XMLSchema" xmlns:xs="http://www.w3.org/2001/XMLSchema" xmlns:p="http://schemas.microsoft.com/office/2006/metadata/properties" xmlns:ns2="27F3C0FC-B9AC-46DC-A3F5-BA770269C636" xmlns:ns3="5f08c1bb-72a5-41c0-a316-473e98d58e01" targetNamespace="http://schemas.microsoft.com/office/2006/metadata/properties" ma:root="true" ma:fieldsID="c129c13b6205fd4f84b81860ca4f9cf4" ns2:_="" ns3:_="">
    <xsd:import namespace="27F3C0FC-B9AC-46DC-A3F5-BA770269C636"/>
    <xsd:import namespace="5f08c1bb-72a5-41c0-a316-473e98d58e01"/>
    <xsd:element name="properties">
      <xsd:complexType>
        <xsd:sequence>
          <xsd:element name="documentManagement">
            <xsd:complexType>
              <xsd:all>
                <xsd:element ref="ns2:FWO_DOCStatus" minOccurs="0"/>
                <xsd:element ref="ns2:FWO_DocSecurityClassification"/>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2:FWO_TRIM_SecurityClassification"/>
                <xsd:element ref="ns2:FWO_TRIM_DL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3C0FC-B9AC-46DC-A3F5-BA770269C636"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ma:displayName="FWO Document security classification" ma:default="Unclassified"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240f0efb-837e-401a-8a5f-d65bbc37db9c"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aa884f80-3e20-4ee6-9535-836dd602c69d"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5f08c1bb-72a5-41c0-a316-473e98d58e01"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BB283-9BDD-4C1A-BA58-150FD336E855}">
  <ds:schemaRefs>
    <ds:schemaRef ds:uri="http://schemas.microsoft.com/sharepoint/v3/contenttype/forms"/>
  </ds:schemaRefs>
</ds:datastoreItem>
</file>

<file path=customXml/itemProps2.xml><?xml version="1.0" encoding="utf-8"?>
<ds:datastoreItem xmlns:ds="http://schemas.openxmlformats.org/officeDocument/2006/customXml" ds:itemID="{712CEAD7-D3FE-4BFF-90E6-ACB3B3C05EA7}">
  <ds:schemaRefs>
    <ds:schemaRef ds:uri="http://purl.org/dc/elements/1.1/"/>
    <ds:schemaRef ds:uri="http://schemas.microsoft.com/office/2006/metadata/properties"/>
    <ds:schemaRef ds:uri="5f08c1bb-72a5-41c0-a316-473e98d58e01"/>
    <ds:schemaRef ds:uri="http://purl.org/dc/terms/"/>
    <ds:schemaRef ds:uri="http://purl.org/dc/dcmitype/"/>
    <ds:schemaRef ds:uri="27F3C0FC-B9AC-46DC-A3F5-BA770269C636"/>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E64EF0B-D334-4C4E-826F-A36CFDDA2793}">
  <ds:schemaRefs>
    <ds:schemaRef ds:uri="http://schemas.microsoft.com/office/2006/metadata/longProperties"/>
  </ds:schemaRefs>
</ds:datastoreItem>
</file>

<file path=customXml/itemProps4.xml><?xml version="1.0" encoding="utf-8"?>
<ds:datastoreItem xmlns:ds="http://schemas.openxmlformats.org/officeDocument/2006/customXml" ds:itemID="{0B8879AB-DC8E-4333-BBDF-F534855A9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3C0FC-B9AC-46DC-A3F5-BA770269C636"/>
    <ds:schemaRef ds:uri="5f08c1bb-72a5-41c0-a316-473e98d58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A2B316-D2C9-46C5-A988-1D94BCE400CF}">
  <ds:schemaRefs>
    <ds:schemaRef ds:uri="http://schemas.microsoft.com/sharepoint/events"/>
  </ds:schemaRefs>
</ds:datastoreItem>
</file>

<file path=customXml/itemProps6.xml><?xml version="1.0" encoding="utf-8"?>
<ds:datastoreItem xmlns:ds="http://schemas.openxmlformats.org/officeDocument/2006/customXml" ds:itemID="{65CA56F5-C18C-4CC3-9BFD-543B7A570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10</Pages>
  <Words>1834</Words>
  <Characters>10691</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Fair Work Ombudsman Gender Equality Action Plan 2018 - 2021 FINAL</vt:lpstr>
    </vt:vector>
  </TitlesOfParts>
  <Manager/>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Ombudsman Gender Equality Action Plan 2018 - 2021 FINAL</dc:title>
  <dc:subject>Fair Work Ombudsman Gender Equality Action Plan 2018 - 2021</dc:subject>
  <dc:creator/>
  <cp:keywords>Fair Work Ombudsman Gender Equality Action Plan 2018 - 2021</cp:keywords>
  <cp:lastModifiedBy/>
  <cp:revision>1</cp:revision>
  <dcterms:created xsi:type="dcterms:W3CDTF">2018-08-16T00:59:00Z</dcterms:created>
  <dcterms:modified xsi:type="dcterms:W3CDTF">2018-08-16T00:59:00Z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0x010100B2AA788ECC3F4F3EBCB0F00CED0A3A7000A439F7C79F46CA48854C8039AAEB3E8D</vt:lpwstr>
  </property>
  <property fmtid="{D5CDD505-2E9C-101B-9397-08002B2CF9AE}" pid="3" name="_dlc_DocIdItemGuid">
    <vt:lpwstr>8f75d4c6-aca0-42bf-abc2-98b7a7263e41</vt:lpwstr>
  </property>
  <property fmtid="{D5CDD505-2E9C-101B-9397-08002B2CF9AE}" pid="4" name="FWO_BCS">
    <vt:lpwstr>1</vt:lpwstr>
  </property>
  <property fmtid="{D5CDD505-2E9C-101B-9397-08002B2CF9AE}" pid="5" name="FWO_DocumentTopic">
    <vt:lpwstr>125</vt:lpwstr>
  </property>
</Properties>
</file>