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DB36F" w14:textId="43C010F5" w:rsidR="003D186F" w:rsidRDefault="003D186F" w:rsidP="00F124DC">
      <w:pPr>
        <w:pStyle w:val="CoverReportSubTitle"/>
      </w:pPr>
    </w:p>
    <w:p w14:paraId="68D97FF0" w14:textId="4AA9B1B7" w:rsidR="003D186F" w:rsidRDefault="003D186F" w:rsidP="003D186F"/>
    <w:p w14:paraId="7B0E197D" w14:textId="4A34EBA5" w:rsidR="003D186F" w:rsidRPr="005A5409" w:rsidRDefault="003D186F" w:rsidP="003D186F"/>
    <w:p w14:paraId="66F4C18D" w14:textId="5CCA56B6" w:rsidR="003D186F" w:rsidRDefault="003D186F">
      <w:pPr>
        <w:pStyle w:val="CoverReportSubTitle"/>
      </w:pPr>
    </w:p>
    <w:p w14:paraId="56B222DA" w14:textId="5985D9E8" w:rsidR="003D186F" w:rsidRDefault="003D186F">
      <w:pPr>
        <w:pStyle w:val="CoverReportSubTitle"/>
      </w:pPr>
    </w:p>
    <w:p w14:paraId="0AEFDCDD" w14:textId="11E1D10C" w:rsidR="003D186F" w:rsidRDefault="003D186F">
      <w:pPr>
        <w:pStyle w:val="CoverReportSubTitle"/>
      </w:pPr>
    </w:p>
    <w:p w14:paraId="2EF8D1B1" w14:textId="330EE232" w:rsidR="003D186F" w:rsidRDefault="003D186F">
      <w:pPr>
        <w:pStyle w:val="CoverReportSubTitle"/>
      </w:pPr>
    </w:p>
    <w:p w14:paraId="1A91511D" w14:textId="67936D51" w:rsidR="003D186F" w:rsidRDefault="003D186F">
      <w:pPr>
        <w:pStyle w:val="CoverReportSubTitle"/>
      </w:pPr>
    </w:p>
    <w:p w14:paraId="53E188E5" w14:textId="0015C2B4" w:rsidR="003D186F" w:rsidRDefault="003D186F">
      <w:pPr>
        <w:pStyle w:val="CoverReportSubTitle"/>
        <w:rPr>
          <w:sz w:val="60"/>
        </w:rPr>
      </w:pPr>
      <w:r>
        <w:rPr>
          <w:noProof/>
          <w:lang w:eastAsia="en-AU"/>
        </w:rPr>
        <mc:AlternateContent>
          <mc:Choice Requires="wps">
            <w:drawing>
              <wp:anchor distT="0" distB="0" distL="114300" distR="114300" simplePos="0" relativeHeight="251658240" behindDoc="1" locked="0" layoutInCell="1" allowOverlap="1" wp14:anchorId="03784FA6" wp14:editId="0331AB65">
                <wp:simplePos x="0" y="0"/>
                <wp:positionH relativeFrom="page">
                  <wp:align>left</wp:align>
                </wp:positionH>
                <wp:positionV relativeFrom="paragraph">
                  <wp:posOffset>384735</wp:posOffset>
                </wp:positionV>
                <wp:extent cx="7749540" cy="1790700"/>
                <wp:effectExtent l="0" t="0" r="3810" b="0"/>
                <wp:wrapNone/>
                <wp:docPr id="4" name="Rectangle 4" title="Background image"/>
                <wp:cNvGraphicFramePr/>
                <a:graphic xmlns:a="http://schemas.openxmlformats.org/drawingml/2006/main">
                  <a:graphicData uri="http://schemas.microsoft.com/office/word/2010/wordprocessingShape">
                    <wps:wsp>
                      <wps:cNvSpPr/>
                      <wps:spPr>
                        <a:xfrm>
                          <a:off x="0" y="0"/>
                          <a:ext cx="7749540" cy="1790700"/>
                        </a:xfrm>
                        <a:prstGeom prst="rect">
                          <a:avLst/>
                        </a:prstGeom>
                        <a:solidFill>
                          <a:srgbClr val="26374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AC144" w14:textId="77777777" w:rsidR="00F6448D" w:rsidRDefault="00F6448D" w:rsidP="003D186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84FA6" id="Rectangle 4" o:spid="_x0000_s1026" alt="Title: Background image" style="position:absolute;margin-left:0;margin-top:30.3pt;width:610.2pt;height:14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DosQIAAKoFAAAOAAAAZHJzL2Uyb0RvYy54bWysVEtPGzEQvlfqf7B8L7tJAykRG5SCqCoh&#10;QEDF2fHau1a9Htd2spv++o69DyhFPVTNYTP2fPP6PDNn512jyV44r8AUdHaUUyIMh1KZqqDfHq8+&#10;fKLEB2ZKpsGIgh6Ep+fr9+/OWrsSc6hBl8IRdGL8qrUFrUOwqyzzvBYN80dghUGlBNewgEdXZaVj&#10;LXpvdDbP85OsBVdaB1x4j7eXvZKuk38pBQ+3UnoRiC4o5hbS16XvNn6z9RlbVY7ZWvEhDfYPWTRM&#10;GQw6ubpkgZGdU3+4ahR34EGGIw5NBlIqLlINWM0sf1XNQ82sSLUgOd5ONPn/55bf7O8cUWVBF5QY&#10;1uAT3SNpzFRaELwKKmi8+8z498rBzpRENawSkbfW+hWaP9g7N5w8ipGETrom/mN5pEtcHyauRRcI&#10;x8vlcnF6vMAn4aibLU/zZZ5eI3s2t86HLwIaEoWCOswrccz21z5gSISOkBjNg1blldI6HVy1vdCO&#10;7Bk+/Pzk43JxEnNGk99g2kSwgWjWq+NNFkvri0lSOGgRcdrcC4lkYfrzlElqUzHFYZwLE2a9qmal&#10;6MMf5/gbo8fGjhYpl+QwepYYf/I9OBiRvZPRd5/lgI+mInX5ZJz/LbHeeLJIkcGEybhRBtxbDjRW&#10;NUTu8SNJPTWRpdBtO4REcQvlAbvKQT9u3vIrhU94zXy4Yw7nC58dd0a4xY/U0BYUBomSGtzPt+4j&#10;HtsetZS0OK8F9T92zAlK9FeDA3E6W8RuCumwOF7O8eBearYvNWbXXAB2xgy3k+VJjPigR1E6aJ5w&#10;tWxiVFQxwzF2QXlw4+Ei9HsElxMXm02C4VBbFq7Ng+XReSQ4tuhj98ScHfo44AjcwDjbbPWqnXts&#10;tDSw2QWQKvX6M68D9bgQUg8NyytunJfnhHpesetfAAAA//8DAFBLAwQUAAYACAAAACEAAiM/Rd8A&#10;AAAIAQAADwAAAGRycy9kb3ducmV2LnhtbEyPMU/DMBSEdyT+g/WQWBC1CSVCIS8VoKYDiIFCBzY3&#10;fiSB+NmK3Tb8e9wJxtOd7r4rF5MdxJ7G0DtGuJopEMSNMz23CO9v9eUtiBA1Gz04JoQfCrCoTk9K&#10;XRh34Ffar2MrUgmHQiN0MfpCytB0ZHWYOU+cvE83Wh2THFtpRn1I5XaQmVK5tLrntNBpT48dNd/r&#10;nUVYbdp6uXxo2K+e6Pmi3vivj5cbxPOz6f4ORKQp/oXhiJ/QoUpMW7djE8SAkI5EhFzlII5ulqk5&#10;iC3C9TzLQVal/H+g+gUAAP//AwBQSwECLQAUAAYACAAAACEAtoM4kv4AAADhAQAAEwAAAAAAAAAA&#10;AAAAAAAAAAAAW0NvbnRlbnRfVHlwZXNdLnhtbFBLAQItABQABgAIAAAAIQA4/SH/1gAAAJQBAAAL&#10;AAAAAAAAAAAAAAAAAC8BAABfcmVscy8ucmVsc1BLAQItABQABgAIAAAAIQBwgtDosQIAAKoFAAAO&#10;AAAAAAAAAAAAAAAAAC4CAABkcnMvZTJvRG9jLnhtbFBLAQItABQABgAIAAAAIQACIz9F3wAAAAgB&#10;AAAPAAAAAAAAAAAAAAAAAAsFAABkcnMvZG93bnJldi54bWxQSwUGAAAAAAQABADzAAAAFwYAAAAA&#10;" fillcolor="#263746" stroked="f" strokeweight="2pt">
                <v:textbox>
                  <w:txbxContent>
                    <w:p w14:paraId="42AAC144" w14:textId="77777777" w:rsidR="00F6448D" w:rsidRDefault="00F6448D" w:rsidP="003D186F"/>
                  </w:txbxContent>
                </v:textbox>
                <w10:wrap anchorx="page"/>
              </v:rect>
            </w:pict>
          </mc:Fallback>
        </mc:AlternateContent>
      </w:r>
    </w:p>
    <w:p w14:paraId="0E4D9E59" w14:textId="3F4A089F" w:rsidR="003D186F" w:rsidRDefault="003D186F" w:rsidP="003D186F"/>
    <w:p w14:paraId="08EBB474" w14:textId="499914F4" w:rsidR="003D186F" w:rsidRDefault="00256022" w:rsidP="008748E6">
      <w:pPr>
        <w:spacing w:after="3840"/>
      </w:pPr>
      <w:r>
        <w:rPr>
          <w:rFonts w:ascii="Calibri" w:hAnsi="Calibri"/>
          <w:color w:val="FFFFFF" w:themeColor="background1"/>
          <w:sz w:val="44"/>
        </w:rPr>
        <w:t xml:space="preserve">National </w:t>
      </w:r>
      <w:r w:rsidR="008C3D36">
        <w:rPr>
          <w:rFonts w:ascii="Calibri" w:hAnsi="Calibri"/>
          <w:color w:val="FFFFFF" w:themeColor="background1"/>
          <w:sz w:val="44"/>
        </w:rPr>
        <w:t>c</w:t>
      </w:r>
      <w:r>
        <w:rPr>
          <w:rFonts w:ascii="Calibri" w:hAnsi="Calibri"/>
          <w:color w:val="FFFFFF" w:themeColor="background1"/>
          <w:sz w:val="44"/>
        </w:rPr>
        <w:t xml:space="preserve">ompliance </w:t>
      </w:r>
      <w:r w:rsidR="008C3D36">
        <w:rPr>
          <w:rFonts w:ascii="Calibri" w:hAnsi="Calibri"/>
          <w:color w:val="FFFFFF" w:themeColor="background1"/>
          <w:sz w:val="44"/>
        </w:rPr>
        <w:t>m</w:t>
      </w:r>
      <w:r>
        <w:rPr>
          <w:rFonts w:ascii="Calibri" w:hAnsi="Calibri"/>
          <w:color w:val="FFFFFF" w:themeColor="background1"/>
          <w:sz w:val="44"/>
        </w:rPr>
        <w:t xml:space="preserve">onitoring </w:t>
      </w:r>
      <w:r w:rsidR="008C3D36">
        <w:rPr>
          <w:rFonts w:ascii="Calibri" w:hAnsi="Calibri"/>
          <w:color w:val="FFFFFF" w:themeColor="background1"/>
          <w:sz w:val="44"/>
        </w:rPr>
        <w:t>c</w:t>
      </w:r>
      <w:r>
        <w:rPr>
          <w:rFonts w:ascii="Calibri" w:hAnsi="Calibri"/>
          <w:color w:val="FFFFFF" w:themeColor="background1"/>
          <w:sz w:val="44"/>
        </w:rPr>
        <w:t xml:space="preserve">ampaign </w:t>
      </w:r>
      <w:r w:rsidR="003F6FDA">
        <w:rPr>
          <w:rFonts w:ascii="Calibri" w:hAnsi="Calibri"/>
          <w:color w:val="FFFFFF" w:themeColor="background1"/>
          <w:sz w:val="44"/>
        </w:rPr>
        <w:t>#2</w:t>
      </w:r>
    </w:p>
    <w:p w14:paraId="55768800" w14:textId="08F795DC" w:rsidR="003D186F" w:rsidRPr="00BF0029" w:rsidRDefault="003F6FDA" w:rsidP="003D186F">
      <w:r>
        <w:t>November</w:t>
      </w:r>
      <w:r w:rsidR="00F26305">
        <w:t xml:space="preserve"> </w:t>
      </w:r>
      <w:r w:rsidR="003D186F">
        <w:t>2018</w:t>
      </w:r>
    </w:p>
    <w:p w14:paraId="3F4C5B3D" w14:textId="6BD4C5A2" w:rsidR="003D186F" w:rsidRPr="006A412C" w:rsidRDefault="003D186F" w:rsidP="003D186F">
      <w:r w:rsidRPr="0045600E">
        <w:t>©</w:t>
      </w:r>
      <w:r>
        <w:t xml:space="preserve"> Commonwealth of Australia, 2018</w:t>
      </w:r>
      <w:r>
        <w:br w:type="page"/>
      </w:r>
    </w:p>
    <w:p w14:paraId="2F44C4AF" w14:textId="77777777" w:rsidR="00447D31" w:rsidRDefault="003D186F" w:rsidP="00690CE6">
      <w:pPr>
        <w:pStyle w:val="Heading1"/>
        <w:rPr>
          <w:noProof/>
        </w:rPr>
      </w:pPr>
      <w:bookmarkStart w:id="0" w:name="_Toc527042366"/>
      <w:bookmarkStart w:id="1" w:name="_Toc527359588"/>
      <w:bookmarkStart w:id="2" w:name="_Toc527447184"/>
      <w:bookmarkStart w:id="3" w:name="_Toc527447230"/>
      <w:bookmarkStart w:id="4" w:name="_Toc518294907"/>
      <w:bookmarkStart w:id="5" w:name="_Toc518295171"/>
      <w:bookmarkStart w:id="6" w:name="_Toc526426934"/>
      <w:bookmarkStart w:id="7" w:name="_Toc526855130"/>
      <w:bookmarkStart w:id="8" w:name="_Toc526938957"/>
      <w:bookmarkStart w:id="9" w:name="_Toc526939143"/>
      <w:bookmarkStart w:id="10" w:name="_Toc526981351"/>
      <w:bookmarkStart w:id="11" w:name="_Toc527042232"/>
      <w:bookmarkStart w:id="12" w:name="_Toc527042368"/>
      <w:bookmarkStart w:id="13" w:name="_Toc527359590"/>
      <w:bookmarkStart w:id="14" w:name="_Toc527447186"/>
      <w:bookmarkStart w:id="15" w:name="_Toc527447232"/>
      <w:bookmarkStart w:id="16" w:name="_Toc528059977"/>
      <w:bookmarkStart w:id="17" w:name="_Toc528060041"/>
      <w:bookmarkStart w:id="18" w:name="_Toc528058393"/>
      <w:bookmarkStart w:id="19" w:name="_Toc528060202"/>
      <w:bookmarkStart w:id="20" w:name="_Toc528060219"/>
      <w:bookmarkStart w:id="21" w:name="_Toc529352616"/>
      <w:bookmarkEnd w:id="0"/>
      <w:bookmarkEnd w:id="1"/>
      <w:bookmarkEnd w:id="2"/>
      <w:bookmarkEnd w:id="3"/>
      <w:r w:rsidRPr="00357936">
        <w:lastRenderedPageBreak/>
        <w:t xml:space="preserve">Table of </w:t>
      </w:r>
      <w:r w:rsidR="006B1037">
        <w:t>c</w:t>
      </w:r>
      <w:r w:rsidRPr="00357936">
        <w:t>ontents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DC7463">
        <w:rPr>
          <w:rFonts w:cstheme="minorHAnsi"/>
        </w:rPr>
        <w:fldChar w:fldCharType="begin"/>
      </w:r>
      <w:r w:rsidR="00DC7463">
        <w:rPr>
          <w:rFonts w:cstheme="minorHAnsi"/>
        </w:rPr>
        <w:instrText xml:space="preserve"> TOC \o "1-2" \h \z \u </w:instrText>
      </w:r>
      <w:r w:rsidR="00DC7463">
        <w:rPr>
          <w:rFonts w:cstheme="minorHAnsi"/>
        </w:rPr>
        <w:fldChar w:fldCharType="separate"/>
      </w:r>
    </w:p>
    <w:p w14:paraId="7C3A3354" w14:textId="7597D134" w:rsidR="00447D31" w:rsidRPr="00447D31" w:rsidRDefault="002923F7">
      <w:pPr>
        <w:pStyle w:val="TOC1"/>
        <w:rPr>
          <w:rFonts w:eastAsiaTheme="minorEastAsia" w:cstheme="minorBidi"/>
          <w:noProof/>
          <w:spacing w:val="0"/>
          <w:szCs w:val="22"/>
          <w:lang w:eastAsia="en-AU"/>
        </w:rPr>
      </w:pPr>
      <w:hyperlink w:anchor="_Toc529352616" w:history="1">
        <w:r w:rsidR="00447D31" w:rsidRPr="00447D31">
          <w:rPr>
            <w:rStyle w:val="Hyperlink"/>
            <w:rFonts w:asciiTheme="minorHAnsi" w:hAnsiTheme="minorHAnsi"/>
            <w:noProof/>
          </w:rPr>
          <w:t>Table of contents</w:t>
        </w:r>
        <w:r w:rsidR="00447D31" w:rsidRPr="00447D31">
          <w:rPr>
            <w:noProof/>
            <w:webHidden/>
          </w:rPr>
          <w:tab/>
        </w:r>
        <w:r w:rsidR="00447D31" w:rsidRPr="00447D31">
          <w:rPr>
            <w:noProof/>
            <w:webHidden/>
          </w:rPr>
          <w:fldChar w:fldCharType="begin"/>
        </w:r>
        <w:r w:rsidR="00447D31" w:rsidRPr="00447D31">
          <w:rPr>
            <w:noProof/>
            <w:webHidden/>
          </w:rPr>
          <w:instrText xml:space="preserve"> PAGEREF _Toc529352616 \h </w:instrText>
        </w:r>
        <w:r w:rsidR="00447D31" w:rsidRPr="00447D31">
          <w:rPr>
            <w:noProof/>
            <w:webHidden/>
          </w:rPr>
        </w:r>
        <w:r w:rsidR="00447D31" w:rsidRPr="00447D31">
          <w:rPr>
            <w:noProof/>
            <w:webHidden/>
          </w:rPr>
          <w:fldChar w:fldCharType="separate"/>
        </w:r>
        <w:r w:rsidR="00430549">
          <w:rPr>
            <w:noProof/>
            <w:webHidden/>
          </w:rPr>
          <w:t>2</w:t>
        </w:r>
        <w:r w:rsidR="00447D31" w:rsidRPr="00447D31">
          <w:rPr>
            <w:noProof/>
            <w:webHidden/>
          </w:rPr>
          <w:fldChar w:fldCharType="end"/>
        </w:r>
      </w:hyperlink>
    </w:p>
    <w:p w14:paraId="5FD021D6" w14:textId="7823EEEF" w:rsidR="00447D31" w:rsidRPr="00447D31" w:rsidRDefault="002923F7">
      <w:pPr>
        <w:pStyle w:val="TOC1"/>
        <w:rPr>
          <w:rFonts w:eastAsiaTheme="minorEastAsia" w:cstheme="minorBidi"/>
          <w:noProof/>
          <w:spacing w:val="0"/>
          <w:szCs w:val="22"/>
          <w:lang w:eastAsia="en-AU"/>
        </w:rPr>
      </w:pPr>
      <w:hyperlink w:anchor="_Toc529352617" w:history="1">
        <w:r w:rsidR="00447D31" w:rsidRPr="00447D31">
          <w:rPr>
            <w:rStyle w:val="Hyperlink"/>
            <w:rFonts w:asciiTheme="minorHAnsi" w:hAnsiTheme="minorHAnsi"/>
            <w:noProof/>
          </w:rPr>
          <w:t>Executive summary</w:t>
        </w:r>
        <w:r w:rsidR="00447D31" w:rsidRPr="00447D31">
          <w:rPr>
            <w:noProof/>
            <w:webHidden/>
          </w:rPr>
          <w:tab/>
        </w:r>
        <w:r w:rsidR="00447D31" w:rsidRPr="00447D31">
          <w:rPr>
            <w:noProof/>
            <w:webHidden/>
          </w:rPr>
          <w:fldChar w:fldCharType="begin"/>
        </w:r>
        <w:r w:rsidR="00447D31" w:rsidRPr="00447D31">
          <w:rPr>
            <w:noProof/>
            <w:webHidden/>
          </w:rPr>
          <w:instrText xml:space="preserve"> PAGEREF _Toc529352617 \h </w:instrText>
        </w:r>
        <w:r w:rsidR="00447D31" w:rsidRPr="00447D31">
          <w:rPr>
            <w:noProof/>
            <w:webHidden/>
          </w:rPr>
        </w:r>
        <w:r w:rsidR="00447D31" w:rsidRPr="00447D31">
          <w:rPr>
            <w:noProof/>
            <w:webHidden/>
          </w:rPr>
          <w:fldChar w:fldCharType="separate"/>
        </w:r>
        <w:r w:rsidR="00430549">
          <w:rPr>
            <w:noProof/>
            <w:webHidden/>
          </w:rPr>
          <w:t>3</w:t>
        </w:r>
        <w:r w:rsidR="00447D31" w:rsidRPr="00447D31">
          <w:rPr>
            <w:noProof/>
            <w:webHidden/>
          </w:rPr>
          <w:fldChar w:fldCharType="end"/>
        </w:r>
      </w:hyperlink>
    </w:p>
    <w:p w14:paraId="4EAF068D" w14:textId="28EF3B87" w:rsidR="00447D31" w:rsidRPr="00447D31" w:rsidRDefault="002923F7">
      <w:pPr>
        <w:pStyle w:val="TOC1"/>
        <w:rPr>
          <w:rFonts w:eastAsiaTheme="minorEastAsia" w:cstheme="minorBidi"/>
          <w:noProof/>
          <w:spacing w:val="0"/>
          <w:szCs w:val="22"/>
          <w:lang w:eastAsia="en-AU"/>
        </w:rPr>
      </w:pPr>
      <w:hyperlink w:anchor="_Toc529352618" w:history="1">
        <w:r w:rsidR="00447D31" w:rsidRPr="00447D31">
          <w:rPr>
            <w:rStyle w:val="Hyperlink"/>
            <w:rFonts w:asciiTheme="minorHAnsi" w:hAnsiTheme="minorHAnsi"/>
            <w:noProof/>
          </w:rPr>
          <w:t>Background</w:t>
        </w:r>
        <w:r w:rsidR="00447D31" w:rsidRPr="00447D31">
          <w:rPr>
            <w:noProof/>
            <w:webHidden/>
          </w:rPr>
          <w:tab/>
        </w:r>
        <w:r w:rsidR="00447D31" w:rsidRPr="00447D31">
          <w:rPr>
            <w:noProof/>
            <w:webHidden/>
          </w:rPr>
          <w:fldChar w:fldCharType="begin"/>
        </w:r>
        <w:r w:rsidR="00447D31" w:rsidRPr="00447D31">
          <w:rPr>
            <w:noProof/>
            <w:webHidden/>
          </w:rPr>
          <w:instrText xml:space="preserve"> PAGEREF _Toc529352618 \h </w:instrText>
        </w:r>
        <w:r w:rsidR="00447D31" w:rsidRPr="00447D31">
          <w:rPr>
            <w:noProof/>
            <w:webHidden/>
          </w:rPr>
        </w:r>
        <w:r w:rsidR="00447D31" w:rsidRPr="00447D31">
          <w:rPr>
            <w:noProof/>
            <w:webHidden/>
          </w:rPr>
          <w:fldChar w:fldCharType="separate"/>
        </w:r>
        <w:r w:rsidR="00430549">
          <w:rPr>
            <w:noProof/>
            <w:webHidden/>
          </w:rPr>
          <w:t>4</w:t>
        </w:r>
        <w:r w:rsidR="00447D31" w:rsidRPr="00447D31">
          <w:rPr>
            <w:noProof/>
            <w:webHidden/>
          </w:rPr>
          <w:fldChar w:fldCharType="end"/>
        </w:r>
      </w:hyperlink>
    </w:p>
    <w:p w14:paraId="2B9B3A12" w14:textId="25BD7037" w:rsidR="00447D31" w:rsidRPr="00447D31" w:rsidRDefault="002923F7">
      <w:pPr>
        <w:pStyle w:val="TOC1"/>
        <w:rPr>
          <w:rFonts w:eastAsiaTheme="minorEastAsia" w:cstheme="minorBidi"/>
          <w:noProof/>
          <w:spacing w:val="0"/>
          <w:szCs w:val="22"/>
          <w:lang w:eastAsia="en-AU"/>
        </w:rPr>
      </w:pPr>
      <w:hyperlink w:anchor="_Toc529352619" w:history="1">
        <w:r w:rsidR="00447D31" w:rsidRPr="00447D31">
          <w:rPr>
            <w:rStyle w:val="Hyperlink"/>
            <w:rFonts w:asciiTheme="minorHAnsi" w:hAnsiTheme="minorHAnsi"/>
            <w:noProof/>
          </w:rPr>
          <w:t>National Compliance Monitoring Campaign #2</w:t>
        </w:r>
        <w:r w:rsidR="00447D31" w:rsidRPr="00447D31">
          <w:rPr>
            <w:noProof/>
            <w:webHidden/>
          </w:rPr>
          <w:tab/>
        </w:r>
        <w:r w:rsidR="00447D31" w:rsidRPr="00447D31">
          <w:rPr>
            <w:noProof/>
            <w:webHidden/>
          </w:rPr>
          <w:fldChar w:fldCharType="begin"/>
        </w:r>
        <w:r w:rsidR="00447D31" w:rsidRPr="00447D31">
          <w:rPr>
            <w:noProof/>
            <w:webHidden/>
          </w:rPr>
          <w:instrText xml:space="preserve"> PAGEREF _Toc529352619 \h </w:instrText>
        </w:r>
        <w:r w:rsidR="00447D31" w:rsidRPr="00447D31">
          <w:rPr>
            <w:noProof/>
            <w:webHidden/>
          </w:rPr>
        </w:r>
        <w:r w:rsidR="00447D31" w:rsidRPr="00447D31">
          <w:rPr>
            <w:noProof/>
            <w:webHidden/>
          </w:rPr>
          <w:fldChar w:fldCharType="separate"/>
        </w:r>
        <w:r w:rsidR="00430549">
          <w:rPr>
            <w:noProof/>
            <w:webHidden/>
          </w:rPr>
          <w:t>6</w:t>
        </w:r>
        <w:r w:rsidR="00447D31" w:rsidRPr="00447D31">
          <w:rPr>
            <w:noProof/>
            <w:webHidden/>
          </w:rPr>
          <w:fldChar w:fldCharType="end"/>
        </w:r>
      </w:hyperlink>
    </w:p>
    <w:p w14:paraId="7D0F9F20" w14:textId="1FB56016" w:rsidR="00447D31" w:rsidRPr="00447D31" w:rsidRDefault="002923F7">
      <w:pPr>
        <w:pStyle w:val="TOC1"/>
        <w:rPr>
          <w:rFonts w:eastAsiaTheme="minorEastAsia" w:cstheme="minorBidi"/>
          <w:noProof/>
          <w:spacing w:val="0"/>
          <w:szCs w:val="22"/>
          <w:lang w:eastAsia="en-AU"/>
        </w:rPr>
      </w:pPr>
      <w:hyperlink w:anchor="_Toc529352620" w:history="1">
        <w:r w:rsidR="00447D31" w:rsidRPr="00447D31">
          <w:rPr>
            <w:rStyle w:val="Hyperlink"/>
            <w:rFonts w:asciiTheme="minorHAnsi" w:hAnsiTheme="minorHAnsi"/>
            <w:noProof/>
          </w:rPr>
          <w:t>Results</w:t>
        </w:r>
        <w:r w:rsidR="00447D31" w:rsidRPr="00447D31">
          <w:rPr>
            <w:noProof/>
            <w:webHidden/>
          </w:rPr>
          <w:tab/>
        </w:r>
        <w:r w:rsidR="00447D31" w:rsidRPr="00447D31">
          <w:rPr>
            <w:noProof/>
            <w:webHidden/>
          </w:rPr>
          <w:tab/>
        </w:r>
        <w:r w:rsidR="00447D31" w:rsidRPr="00447D31">
          <w:rPr>
            <w:noProof/>
            <w:webHidden/>
          </w:rPr>
          <w:fldChar w:fldCharType="begin"/>
        </w:r>
        <w:r w:rsidR="00447D31" w:rsidRPr="00447D31">
          <w:rPr>
            <w:noProof/>
            <w:webHidden/>
          </w:rPr>
          <w:instrText xml:space="preserve"> PAGEREF _Toc529352620 \h </w:instrText>
        </w:r>
        <w:r w:rsidR="00447D31" w:rsidRPr="00447D31">
          <w:rPr>
            <w:noProof/>
            <w:webHidden/>
          </w:rPr>
        </w:r>
        <w:r w:rsidR="00447D31" w:rsidRPr="00447D31">
          <w:rPr>
            <w:noProof/>
            <w:webHidden/>
          </w:rPr>
          <w:fldChar w:fldCharType="separate"/>
        </w:r>
        <w:r w:rsidR="00430549">
          <w:rPr>
            <w:noProof/>
            <w:webHidden/>
          </w:rPr>
          <w:t>7</w:t>
        </w:r>
        <w:r w:rsidR="00447D31" w:rsidRPr="00447D31">
          <w:rPr>
            <w:noProof/>
            <w:webHidden/>
          </w:rPr>
          <w:fldChar w:fldCharType="end"/>
        </w:r>
      </w:hyperlink>
    </w:p>
    <w:p w14:paraId="5B587F9E" w14:textId="3E5E4144" w:rsidR="00447D31" w:rsidRPr="00447D31" w:rsidRDefault="002923F7">
      <w:pPr>
        <w:pStyle w:val="TOC1"/>
        <w:rPr>
          <w:rFonts w:eastAsiaTheme="minorEastAsia" w:cstheme="minorBidi"/>
          <w:noProof/>
          <w:spacing w:val="0"/>
          <w:szCs w:val="22"/>
          <w:lang w:eastAsia="en-AU"/>
        </w:rPr>
      </w:pPr>
      <w:hyperlink w:anchor="_Toc529352621" w:history="1">
        <w:r w:rsidR="00447D31" w:rsidRPr="00447D31">
          <w:rPr>
            <w:rStyle w:val="Hyperlink"/>
            <w:rFonts w:asciiTheme="minorHAnsi" w:hAnsiTheme="minorHAnsi"/>
            <w:noProof/>
          </w:rPr>
          <w:t>Compliance and enforcement outcomes</w:t>
        </w:r>
        <w:r w:rsidR="00447D31" w:rsidRPr="00447D31">
          <w:rPr>
            <w:noProof/>
            <w:webHidden/>
          </w:rPr>
          <w:tab/>
        </w:r>
        <w:r w:rsidR="00447D31" w:rsidRPr="00447D31">
          <w:rPr>
            <w:noProof/>
            <w:webHidden/>
          </w:rPr>
          <w:fldChar w:fldCharType="begin"/>
        </w:r>
        <w:r w:rsidR="00447D31" w:rsidRPr="00447D31">
          <w:rPr>
            <w:noProof/>
            <w:webHidden/>
          </w:rPr>
          <w:instrText xml:space="preserve"> PAGEREF _Toc529352621 \h </w:instrText>
        </w:r>
        <w:r w:rsidR="00447D31" w:rsidRPr="00447D31">
          <w:rPr>
            <w:noProof/>
            <w:webHidden/>
          </w:rPr>
        </w:r>
        <w:r w:rsidR="00447D31" w:rsidRPr="00447D31">
          <w:rPr>
            <w:noProof/>
            <w:webHidden/>
          </w:rPr>
          <w:fldChar w:fldCharType="separate"/>
        </w:r>
        <w:r w:rsidR="00430549">
          <w:rPr>
            <w:noProof/>
            <w:webHidden/>
          </w:rPr>
          <w:t>8</w:t>
        </w:r>
        <w:r w:rsidR="00447D31" w:rsidRPr="00447D31">
          <w:rPr>
            <w:noProof/>
            <w:webHidden/>
          </w:rPr>
          <w:fldChar w:fldCharType="end"/>
        </w:r>
      </w:hyperlink>
    </w:p>
    <w:p w14:paraId="6D24A6F0" w14:textId="6842B076" w:rsidR="00447D31" w:rsidRPr="00447D31" w:rsidRDefault="002923F7">
      <w:pPr>
        <w:pStyle w:val="TOC1"/>
        <w:rPr>
          <w:rFonts w:eastAsiaTheme="minorEastAsia" w:cstheme="minorBidi"/>
          <w:noProof/>
          <w:spacing w:val="0"/>
          <w:szCs w:val="22"/>
          <w:lang w:eastAsia="en-AU"/>
        </w:rPr>
      </w:pPr>
      <w:hyperlink w:anchor="_Toc529352622" w:history="1">
        <w:r w:rsidR="00447D31" w:rsidRPr="00447D31">
          <w:rPr>
            <w:rStyle w:val="Hyperlink"/>
            <w:rFonts w:asciiTheme="minorHAnsi" w:hAnsiTheme="minorHAnsi"/>
            <w:noProof/>
          </w:rPr>
          <w:t>Case studies</w:t>
        </w:r>
        <w:r w:rsidR="00447D31" w:rsidRPr="00447D31">
          <w:rPr>
            <w:noProof/>
            <w:webHidden/>
          </w:rPr>
          <w:tab/>
        </w:r>
        <w:r w:rsidR="00447D31" w:rsidRPr="00447D31">
          <w:rPr>
            <w:noProof/>
            <w:webHidden/>
          </w:rPr>
          <w:fldChar w:fldCharType="begin"/>
        </w:r>
        <w:r w:rsidR="00447D31" w:rsidRPr="00447D31">
          <w:rPr>
            <w:noProof/>
            <w:webHidden/>
          </w:rPr>
          <w:instrText xml:space="preserve"> PAGEREF _Toc529352622 \h </w:instrText>
        </w:r>
        <w:r w:rsidR="00447D31" w:rsidRPr="00447D31">
          <w:rPr>
            <w:noProof/>
            <w:webHidden/>
          </w:rPr>
        </w:r>
        <w:r w:rsidR="00447D31" w:rsidRPr="00447D31">
          <w:rPr>
            <w:noProof/>
            <w:webHidden/>
          </w:rPr>
          <w:fldChar w:fldCharType="separate"/>
        </w:r>
        <w:r w:rsidR="00430549">
          <w:rPr>
            <w:noProof/>
            <w:webHidden/>
          </w:rPr>
          <w:t>11</w:t>
        </w:r>
        <w:r w:rsidR="00447D31" w:rsidRPr="00447D31">
          <w:rPr>
            <w:noProof/>
            <w:webHidden/>
          </w:rPr>
          <w:fldChar w:fldCharType="end"/>
        </w:r>
      </w:hyperlink>
    </w:p>
    <w:p w14:paraId="32253D86" w14:textId="6B64483E" w:rsidR="00447D31" w:rsidRPr="00447D31" w:rsidRDefault="002923F7">
      <w:pPr>
        <w:pStyle w:val="TOC2"/>
        <w:rPr>
          <w:rFonts w:eastAsiaTheme="minorEastAsia" w:cstheme="minorBidi"/>
          <w:noProof/>
          <w:szCs w:val="22"/>
          <w:lang w:eastAsia="en-AU"/>
        </w:rPr>
      </w:pPr>
      <w:hyperlink w:anchor="_Toc529352623" w:history="1">
        <w:r w:rsidR="00447D31" w:rsidRPr="00447D31">
          <w:rPr>
            <w:rStyle w:val="Hyperlink"/>
            <w:rFonts w:asciiTheme="minorHAnsi" w:hAnsiTheme="minorHAnsi"/>
            <w:noProof/>
          </w:rPr>
          <w:t>Formal Caution</w:t>
        </w:r>
        <w:r w:rsidR="00447D31" w:rsidRPr="00447D31">
          <w:rPr>
            <w:noProof/>
            <w:webHidden/>
          </w:rPr>
          <w:tab/>
        </w:r>
        <w:r w:rsidR="00447D31" w:rsidRPr="00447D31">
          <w:rPr>
            <w:noProof/>
            <w:webHidden/>
          </w:rPr>
          <w:fldChar w:fldCharType="begin"/>
        </w:r>
        <w:r w:rsidR="00447D31" w:rsidRPr="00447D31">
          <w:rPr>
            <w:noProof/>
            <w:webHidden/>
          </w:rPr>
          <w:instrText xml:space="preserve"> PAGEREF _Toc529352623 \h </w:instrText>
        </w:r>
        <w:r w:rsidR="00447D31" w:rsidRPr="00447D31">
          <w:rPr>
            <w:noProof/>
            <w:webHidden/>
          </w:rPr>
        </w:r>
        <w:r w:rsidR="00447D31" w:rsidRPr="00447D31">
          <w:rPr>
            <w:noProof/>
            <w:webHidden/>
          </w:rPr>
          <w:fldChar w:fldCharType="separate"/>
        </w:r>
        <w:r w:rsidR="00430549">
          <w:rPr>
            <w:noProof/>
            <w:webHidden/>
          </w:rPr>
          <w:t>11</w:t>
        </w:r>
        <w:r w:rsidR="00447D31" w:rsidRPr="00447D31">
          <w:rPr>
            <w:noProof/>
            <w:webHidden/>
          </w:rPr>
          <w:fldChar w:fldCharType="end"/>
        </w:r>
      </w:hyperlink>
    </w:p>
    <w:p w14:paraId="59B60CBA" w14:textId="5341E567" w:rsidR="00447D31" w:rsidRPr="00447D31" w:rsidRDefault="002923F7">
      <w:pPr>
        <w:pStyle w:val="TOC2"/>
        <w:rPr>
          <w:rFonts w:eastAsiaTheme="minorEastAsia" w:cstheme="minorBidi"/>
          <w:noProof/>
          <w:szCs w:val="22"/>
          <w:lang w:eastAsia="en-AU"/>
        </w:rPr>
      </w:pPr>
      <w:hyperlink w:anchor="_Toc529352624" w:history="1">
        <w:r w:rsidR="00447D31" w:rsidRPr="00447D31">
          <w:rPr>
            <w:rStyle w:val="Hyperlink"/>
            <w:rFonts w:asciiTheme="minorHAnsi" w:hAnsiTheme="minorHAnsi"/>
            <w:noProof/>
          </w:rPr>
          <w:t>Infringement Notice</w:t>
        </w:r>
        <w:r w:rsidR="00447D31" w:rsidRPr="00447D31">
          <w:rPr>
            <w:noProof/>
            <w:webHidden/>
          </w:rPr>
          <w:tab/>
        </w:r>
        <w:r w:rsidR="00447D31" w:rsidRPr="00447D31">
          <w:rPr>
            <w:noProof/>
            <w:webHidden/>
          </w:rPr>
          <w:fldChar w:fldCharType="begin"/>
        </w:r>
        <w:r w:rsidR="00447D31" w:rsidRPr="00447D31">
          <w:rPr>
            <w:noProof/>
            <w:webHidden/>
          </w:rPr>
          <w:instrText xml:space="preserve"> PAGEREF _Toc529352624 \h </w:instrText>
        </w:r>
        <w:r w:rsidR="00447D31" w:rsidRPr="00447D31">
          <w:rPr>
            <w:noProof/>
            <w:webHidden/>
          </w:rPr>
        </w:r>
        <w:r w:rsidR="00447D31" w:rsidRPr="00447D31">
          <w:rPr>
            <w:noProof/>
            <w:webHidden/>
          </w:rPr>
          <w:fldChar w:fldCharType="separate"/>
        </w:r>
        <w:r w:rsidR="00430549">
          <w:rPr>
            <w:noProof/>
            <w:webHidden/>
          </w:rPr>
          <w:t>11</w:t>
        </w:r>
        <w:r w:rsidR="00447D31" w:rsidRPr="00447D31">
          <w:rPr>
            <w:noProof/>
            <w:webHidden/>
          </w:rPr>
          <w:fldChar w:fldCharType="end"/>
        </w:r>
      </w:hyperlink>
    </w:p>
    <w:p w14:paraId="38132D9D" w14:textId="0A28CEC7" w:rsidR="00447D31" w:rsidRPr="00447D31" w:rsidRDefault="002923F7">
      <w:pPr>
        <w:pStyle w:val="TOC2"/>
        <w:rPr>
          <w:rFonts w:eastAsiaTheme="minorEastAsia" w:cstheme="minorBidi"/>
          <w:noProof/>
          <w:szCs w:val="22"/>
          <w:lang w:eastAsia="en-AU"/>
        </w:rPr>
      </w:pPr>
      <w:hyperlink w:anchor="_Toc529352625" w:history="1">
        <w:r w:rsidR="00447D31" w:rsidRPr="00447D31">
          <w:rPr>
            <w:rStyle w:val="Hyperlink"/>
            <w:rFonts w:asciiTheme="minorHAnsi" w:hAnsiTheme="minorHAnsi"/>
            <w:noProof/>
          </w:rPr>
          <w:t>Compliance Notice</w:t>
        </w:r>
        <w:r w:rsidR="00447D31" w:rsidRPr="00447D31">
          <w:rPr>
            <w:noProof/>
            <w:webHidden/>
          </w:rPr>
          <w:tab/>
        </w:r>
        <w:r w:rsidR="00447D31" w:rsidRPr="00447D31">
          <w:rPr>
            <w:noProof/>
            <w:webHidden/>
          </w:rPr>
          <w:fldChar w:fldCharType="begin"/>
        </w:r>
        <w:r w:rsidR="00447D31" w:rsidRPr="00447D31">
          <w:rPr>
            <w:noProof/>
            <w:webHidden/>
          </w:rPr>
          <w:instrText xml:space="preserve"> PAGEREF _Toc529352625 \h </w:instrText>
        </w:r>
        <w:r w:rsidR="00447D31" w:rsidRPr="00447D31">
          <w:rPr>
            <w:noProof/>
            <w:webHidden/>
          </w:rPr>
        </w:r>
        <w:r w:rsidR="00447D31" w:rsidRPr="00447D31">
          <w:rPr>
            <w:noProof/>
            <w:webHidden/>
          </w:rPr>
          <w:fldChar w:fldCharType="separate"/>
        </w:r>
        <w:r w:rsidR="00430549">
          <w:rPr>
            <w:noProof/>
            <w:webHidden/>
          </w:rPr>
          <w:t>12</w:t>
        </w:r>
        <w:r w:rsidR="00447D31" w:rsidRPr="00447D31">
          <w:rPr>
            <w:noProof/>
            <w:webHidden/>
          </w:rPr>
          <w:fldChar w:fldCharType="end"/>
        </w:r>
      </w:hyperlink>
    </w:p>
    <w:p w14:paraId="52C9A50B" w14:textId="13248124" w:rsidR="00447D31" w:rsidRPr="00447D31" w:rsidRDefault="002923F7">
      <w:pPr>
        <w:pStyle w:val="TOC2"/>
        <w:rPr>
          <w:rFonts w:eastAsiaTheme="minorEastAsia" w:cstheme="minorBidi"/>
          <w:noProof/>
          <w:szCs w:val="22"/>
          <w:lang w:eastAsia="en-AU"/>
        </w:rPr>
      </w:pPr>
      <w:hyperlink w:anchor="_Toc529352626" w:history="1">
        <w:r w:rsidR="00447D31" w:rsidRPr="00447D31">
          <w:rPr>
            <w:rStyle w:val="Hyperlink"/>
            <w:rFonts w:asciiTheme="minorHAnsi" w:hAnsiTheme="minorHAnsi"/>
            <w:noProof/>
          </w:rPr>
          <w:t>Enforceable Undertaking</w:t>
        </w:r>
        <w:r w:rsidR="00447D31" w:rsidRPr="00447D31">
          <w:rPr>
            <w:noProof/>
            <w:webHidden/>
          </w:rPr>
          <w:tab/>
        </w:r>
        <w:r w:rsidR="00447D31" w:rsidRPr="00447D31">
          <w:rPr>
            <w:noProof/>
            <w:webHidden/>
          </w:rPr>
          <w:fldChar w:fldCharType="begin"/>
        </w:r>
        <w:r w:rsidR="00447D31" w:rsidRPr="00447D31">
          <w:rPr>
            <w:noProof/>
            <w:webHidden/>
          </w:rPr>
          <w:instrText xml:space="preserve"> PAGEREF _Toc529352626 \h </w:instrText>
        </w:r>
        <w:r w:rsidR="00447D31" w:rsidRPr="00447D31">
          <w:rPr>
            <w:noProof/>
            <w:webHidden/>
          </w:rPr>
        </w:r>
        <w:r w:rsidR="00447D31" w:rsidRPr="00447D31">
          <w:rPr>
            <w:noProof/>
            <w:webHidden/>
          </w:rPr>
          <w:fldChar w:fldCharType="separate"/>
        </w:r>
        <w:r w:rsidR="00430549">
          <w:rPr>
            <w:noProof/>
            <w:webHidden/>
          </w:rPr>
          <w:t>13</w:t>
        </w:r>
        <w:r w:rsidR="00447D31" w:rsidRPr="00447D31">
          <w:rPr>
            <w:noProof/>
            <w:webHidden/>
          </w:rPr>
          <w:fldChar w:fldCharType="end"/>
        </w:r>
      </w:hyperlink>
    </w:p>
    <w:p w14:paraId="1CCD7C00" w14:textId="5C13C445" w:rsidR="00447D31" w:rsidRPr="00447D31" w:rsidRDefault="002923F7">
      <w:pPr>
        <w:pStyle w:val="TOC2"/>
        <w:rPr>
          <w:rFonts w:eastAsiaTheme="minorEastAsia" w:cstheme="minorBidi"/>
          <w:noProof/>
          <w:szCs w:val="22"/>
          <w:lang w:eastAsia="en-AU"/>
        </w:rPr>
      </w:pPr>
      <w:hyperlink w:anchor="_Toc529352627" w:history="1">
        <w:r w:rsidR="00447D31" w:rsidRPr="00447D31">
          <w:rPr>
            <w:rStyle w:val="Hyperlink"/>
            <w:rFonts w:asciiTheme="minorHAnsi" w:hAnsiTheme="minorHAnsi"/>
            <w:noProof/>
          </w:rPr>
          <w:t>Litigations</w:t>
        </w:r>
        <w:r w:rsidR="00447D31" w:rsidRPr="00447D31">
          <w:rPr>
            <w:noProof/>
            <w:webHidden/>
          </w:rPr>
          <w:tab/>
        </w:r>
        <w:r w:rsidR="00447D31" w:rsidRPr="00447D31">
          <w:rPr>
            <w:noProof/>
            <w:webHidden/>
          </w:rPr>
          <w:fldChar w:fldCharType="begin"/>
        </w:r>
        <w:r w:rsidR="00447D31" w:rsidRPr="00447D31">
          <w:rPr>
            <w:noProof/>
            <w:webHidden/>
          </w:rPr>
          <w:instrText xml:space="preserve"> PAGEREF _Toc529352627 \h </w:instrText>
        </w:r>
        <w:r w:rsidR="00447D31" w:rsidRPr="00447D31">
          <w:rPr>
            <w:noProof/>
            <w:webHidden/>
          </w:rPr>
        </w:r>
        <w:r w:rsidR="00447D31" w:rsidRPr="00447D31">
          <w:rPr>
            <w:noProof/>
            <w:webHidden/>
          </w:rPr>
          <w:fldChar w:fldCharType="separate"/>
        </w:r>
        <w:r w:rsidR="00430549">
          <w:rPr>
            <w:noProof/>
            <w:webHidden/>
          </w:rPr>
          <w:t>14</w:t>
        </w:r>
        <w:r w:rsidR="00447D31" w:rsidRPr="00447D31">
          <w:rPr>
            <w:noProof/>
            <w:webHidden/>
          </w:rPr>
          <w:fldChar w:fldCharType="end"/>
        </w:r>
      </w:hyperlink>
    </w:p>
    <w:p w14:paraId="121AE026" w14:textId="072239D9" w:rsidR="00447D31" w:rsidRPr="00447D31" w:rsidRDefault="002923F7">
      <w:pPr>
        <w:pStyle w:val="TOC1"/>
        <w:rPr>
          <w:rFonts w:eastAsiaTheme="minorEastAsia" w:cstheme="minorBidi"/>
          <w:noProof/>
          <w:spacing w:val="0"/>
          <w:szCs w:val="22"/>
          <w:lang w:eastAsia="en-AU"/>
        </w:rPr>
      </w:pPr>
      <w:hyperlink w:anchor="_Toc529352628" w:history="1">
        <w:r w:rsidR="00447D31" w:rsidRPr="00447D31">
          <w:rPr>
            <w:rStyle w:val="Hyperlink"/>
            <w:rFonts w:asciiTheme="minorHAnsi" w:hAnsiTheme="minorHAnsi"/>
            <w:noProof/>
          </w:rPr>
          <w:t>Comparison of findings</w:t>
        </w:r>
        <w:r w:rsidR="00447D31" w:rsidRPr="00447D31">
          <w:rPr>
            <w:noProof/>
            <w:webHidden/>
          </w:rPr>
          <w:tab/>
        </w:r>
        <w:r w:rsidR="00447D31" w:rsidRPr="00447D31">
          <w:rPr>
            <w:noProof/>
            <w:webHidden/>
          </w:rPr>
          <w:fldChar w:fldCharType="begin"/>
        </w:r>
        <w:r w:rsidR="00447D31" w:rsidRPr="00447D31">
          <w:rPr>
            <w:noProof/>
            <w:webHidden/>
          </w:rPr>
          <w:instrText xml:space="preserve"> PAGEREF _Toc529352628 \h </w:instrText>
        </w:r>
        <w:r w:rsidR="00447D31" w:rsidRPr="00447D31">
          <w:rPr>
            <w:noProof/>
            <w:webHidden/>
          </w:rPr>
        </w:r>
        <w:r w:rsidR="00447D31" w:rsidRPr="00447D31">
          <w:rPr>
            <w:noProof/>
            <w:webHidden/>
          </w:rPr>
          <w:fldChar w:fldCharType="separate"/>
        </w:r>
        <w:r w:rsidR="00430549">
          <w:rPr>
            <w:noProof/>
            <w:webHidden/>
          </w:rPr>
          <w:t>17</w:t>
        </w:r>
        <w:r w:rsidR="00447D31" w:rsidRPr="00447D31">
          <w:rPr>
            <w:noProof/>
            <w:webHidden/>
          </w:rPr>
          <w:fldChar w:fldCharType="end"/>
        </w:r>
      </w:hyperlink>
    </w:p>
    <w:p w14:paraId="2C15C49C" w14:textId="15F7BF4E" w:rsidR="00447D31" w:rsidRPr="00447D31" w:rsidRDefault="002923F7">
      <w:pPr>
        <w:pStyle w:val="TOC1"/>
        <w:rPr>
          <w:rFonts w:eastAsiaTheme="minorEastAsia" w:cstheme="minorBidi"/>
          <w:noProof/>
          <w:spacing w:val="0"/>
          <w:szCs w:val="22"/>
          <w:lang w:eastAsia="en-AU"/>
        </w:rPr>
      </w:pPr>
      <w:hyperlink w:anchor="_Toc529352629" w:history="1">
        <w:r w:rsidR="00447D31" w:rsidRPr="00447D31">
          <w:rPr>
            <w:rStyle w:val="Hyperlink"/>
            <w:rFonts w:asciiTheme="minorHAnsi" w:hAnsiTheme="minorHAnsi"/>
            <w:noProof/>
          </w:rPr>
          <w:t>Conclusion</w:t>
        </w:r>
        <w:r w:rsidR="00447D31" w:rsidRPr="00447D31">
          <w:rPr>
            <w:noProof/>
            <w:webHidden/>
          </w:rPr>
          <w:tab/>
        </w:r>
        <w:r w:rsidR="00447D31" w:rsidRPr="00447D31">
          <w:rPr>
            <w:noProof/>
            <w:webHidden/>
          </w:rPr>
          <w:fldChar w:fldCharType="begin"/>
        </w:r>
        <w:r w:rsidR="00447D31" w:rsidRPr="00447D31">
          <w:rPr>
            <w:noProof/>
            <w:webHidden/>
          </w:rPr>
          <w:instrText xml:space="preserve"> PAGEREF _Toc529352629 \h </w:instrText>
        </w:r>
        <w:r w:rsidR="00447D31" w:rsidRPr="00447D31">
          <w:rPr>
            <w:noProof/>
            <w:webHidden/>
          </w:rPr>
        </w:r>
        <w:r w:rsidR="00447D31" w:rsidRPr="00447D31">
          <w:rPr>
            <w:noProof/>
            <w:webHidden/>
          </w:rPr>
          <w:fldChar w:fldCharType="separate"/>
        </w:r>
        <w:r w:rsidR="00430549">
          <w:rPr>
            <w:noProof/>
            <w:webHidden/>
          </w:rPr>
          <w:t>19</w:t>
        </w:r>
        <w:r w:rsidR="00447D31" w:rsidRPr="00447D31">
          <w:rPr>
            <w:noProof/>
            <w:webHidden/>
          </w:rPr>
          <w:fldChar w:fldCharType="end"/>
        </w:r>
      </w:hyperlink>
    </w:p>
    <w:p w14:paraId="5A244DFE" w14:textId="3BCE9963" w:rsidR="00447D31" w:rsidRPr="00447D31" w:rsidRDefault="002923F7">
      <w:pPr>
        <w:pStyle w:val="TOC1"/>
        <w:rPr>
          <w:rFonts w:eastAsiaTheme="minorEastAsia" w:cstheme="minorBidi"/>
          <w:noProof/>
          <w:spacing w:val="0"/>
          <w:szCs w:val="22"/>
          <w:lang w:eastAsia="en-AU"/>
        </w:rPr>
      </w:pPr>
      <w:hyperlink w:anchor="_Toc529352630" w:history="1">
        <w:r w:rsidR="00447D31" w:rsidRPr="00447D31">
          <w:rPr>
            <w:rStyle w:val="Hyperlink"/>
            <w:rFonts w:asciiTheme="minorHAnsi" w:hAnsiTheme="minorHAnsi"/>
            <w:noProof/>
          </w:rPr>
          <w:t>About the Fair Work Ombudsman</w:t>
        </w:r>
        <w:r w:rsidR="00447D31" w:rsidRPr="00447D31">
          <w:rPr>
            <w:noProof/>
            <w:webHidden/>
          </w:rPr>
          <w:tab/>
        </w:r>
        <w:r w:rsidR="00447D31" w:rsidRPr="00447D31">
          <w:rPr>
            <w:noProof/>
            <w:webHidden/>
          </w:rPr>
          <w:fldChar w:fldCharType="begin"/>
        </w:r>
        <w:r w:rsidR="00447D31" w:rsidRPr="00447D31">
          <w:rPr>
            <w:noProof/>
            <w:webHidden/>
          </w:rPr>
          <w:instrText xml:space="preserve"> PAGEREF _Toc529352630 \h </w:instrText>
        </w:r>
        <w:r w:rsidR="00447D31" w:rsidRPr="00447D31">
          <w:rPr>
            <w:noProof/>
            <w:webHidden/>
          </w:rPr>
        </w:r>
        <w:r w:rsidR="00447D31" w:rsidRPr="00447D31">
          <w:rPr>
            <w:noProof/>
            <w:webHidden/>
          </w:rPr>
          <w:fldChar w:fldCharType="separate"/>
        </w:r>
        <w:r w:rsidR="00430549">
          <w:rPr>
            <w:noProof/>
            <w:webHidden/>
          </w:rPr>
          <w:t>20</w:t>
        </w:r>
        <w:r w:rsidR="00447D31" w:rsidRPr="00447D31">
          <w:rPr>
            <w:noProof/>
            <w:webHidden/>
          </w:rPr>
          <w:fldChar w:fldCharType="end"/>
        </w:r>
      </w:hyperlink>
    </w:p>
    <w:p w14:paraId="31FBDB49" w14:textId="2DB16EB7" w:rsidR="003D186F" w:rsidRPr="00181475" w:rsidRDefault="00DC7463" w:rsidP="002735ED">
      <w:pPr>
        <w:pStyle w:val="TOC1"/>
      </w:pPr>
      <w:r>
        <w:fldChar w:fldCharType="end"/>
      </w:r>
    </w:p>
    <w:p w14:paraId="261847AD" w14:textId="77777777" w:rsidR="003D186F" w:rsidRPr="00451E9A" w:rsidRDefault="003D186F" w:rsidP="003D186F">
      <w:pPr>
        <w:spacing w:after="0" w:line="240" w:lineRule="auto"/>
        <w:rPr>
          <w:rFonts w:eastAsiaTheme="minorHAnsi" w:cs="Times New Roman"/>
          <w:szCs w:val="22"/>
          <w:lang w:eastAsia="en-AU"/>
        </w:rPr>
      </w:pPr>
      <w:r>
        <w:br w:type="page"/>
      </w:r>
    </w:p>
    <w:p w14:paraId="0C828E9E" w14:textId="77777777" w:rsidR="003D186F" w:rsidRPr="008C5615" w:rsidRDefault="008B2870" w:rsidP="00396B4E">
      <w:pPr>
        <w:pStyle w:val="Heading1"/>
      </w:pPr>
      <w:bookmarkStart w:id="22" w:name="_Toc526855131"/>
      <w:bookmarkStart w:id="23" w:name="_Toc527447233"/>
      <w:bookmarkStart w:id="24" w:name="_Toc528058394"/>
      <w:bookmarkStart w:id="25" w:name="_Toc528060220"/>
      <w:bookmarkStart w:id="26" w:name="_Toc529352617"/>
      <w:r>
        <w:lastRenderedPageBreak/>
        <w:t xml:space="preserve">Executive </w:t>
      </w:r>
      <w:r w:rsidR="00F26305">
        <w:t>s</w:t>
      </w:r>
      <w:r>
        <w:t>ummary</w:t>
      </w:r>
      <w:bookmarkEnd w:id="22"/>
      <w:bookmarkEnd w:id="23"/>
      <w:bookmarkEnd w:id="24"/>
      <w:bookmarkEnd w:id="25"/>
      <w:bookmarkEnd w:id="26"/>
      <w:r>
        <w:t xml:space="preserve"> </w:t>
      </w:r>
    </w:p>
    <w:p w14:paraId="07A603EA" w14:textId="35F9537F" w:rsidR="008B2870" w:rsidRDefault="008B2870" w:rsidP="00D83E3C">
      <w:pPr>
        <w:rPr>
          <w:rFonts w:cstheme="minorHAnsi"/>
          <w:szCs w:val="22"/>
        </w:rPr>
      </w:pPr>
      <w:r w:rsidRPr="00C81B2C">
        <w:rPr>
          <w:rFonts w:cstheme="minorHAnsi"/>
          <w:szCs w:val="22"/>
        </w:rPr>
        <w:t xml:space="preserve">This report </w:t>
      </w:r>
      <w:r w:rsidR="003F6FDA">
        <w:rPr>
          <w:rFonts w:cstheme="minorHAnsi"/>
          <w:szCs w:val="22"/>
        </w:rPr>
        <w:t>details</w:t>
      </w:r>
      <w:r>
        <w:rPr>
          <w:rFonts w:cstheme="minorHAnsi"/>
          <w:szCs w:val="22"/>
        </w:rPr>
        <w:t xml:space="preserve"> </w:t>
      </w:r>
      <w:r w:rsidRPr="00C81B2C">
        <w:rPr>
          <w:rFonts w:cstheme="minorHAnsi"/>
          <w:szCs w:val="22"/>
        </w:rPr>
        <w:t xml:space="preserve">the </w:t>
      </w:r>
      <w:r>
        <w:rPr>
          <w:rFonts w:cstheme="minorHAnsi"/>
          <w:szCs w:val="22"/>
        </w:rPr>
        <w:t>results of the F</w:t>
      </w:r>
      <w:r w:rsidR="006B1037">
        <w:rPr>
          <w:rFonts w:cstheme="minorHAnsi"/>
          <w:szCs w:val="22"/>
        </w:rPr>
        <w:t>air Work Ombudsman’s</w:t>
      </w:r>
      <w:r w:rsidR="00490360">
        <w:rPr>
          <w:rFonts w:cstheme="minorHAnsi"/>
          <w:szCs w:val="22"/>
        </w:rPr>
        <w:t xml:space="preserve"> (FWO)</w:t>
      </w:r>
      <w:r>
        <w:rPr>
          <w:rFonts w:cstheme="minorHAnsi"/>
          <w:szCs w:val="22"/>
        </w:rPr>
        <w:t xml:space="preserve"> </w:t>
      </w:r>
      <w:r w:rsidR="00BD1D21">
        <w:rPr>
          <w:rFonts w:cstheme="minorHAnsi"/>
          <w:szCs w:val="22"/>
        </w:rPr>
        <w:t>second</w:t>
      </w:r>
      <w:r w:rsidR="003F6FDA">
        <w:rPr>
          <w:rFonts w:cstheme="minorHAnsi"/>
          <w:szCs w:val="22"/>
        </w:rPr>
        <w:t xml:space="preserve"> </w:t>
      </w:r>
      <w:r w:rsidRPr="00C81B2C">
        <w:rPr>
          <w:rFonts w:cstheme="minorHAnsi"/>
          <w:szCs w:val="22"/>
        </w:rPr>
        <w:t>National Compliance Monitoring Campaign (</w:t>
      </w:r>
      <w:r>
        <w:rPr>
          <w:rFonts w:cstheme="minorHAnsi"/>
          <w:szCs w:val="22"/>
        </w:rPr>
        <w:t xml:space="preserve">the </w:t>
      </w:r>
      <w:r w:rsidR="00F26305">
        <w:rPr>
          <w:rFonts w:cstheme="minorHAnsi"/>
          <w:szCs w:val="22"/>
        </w:rPr>
        <w:t>C</w:t>
      </w:r>
      <w:r w:rsidR="003F6FDA">
        <w:rPr>
          <w:rFonts w:cstheme="minorHAnsi"/>
          <w:szCs w:val="22"/>
        </w:rPr>
        <w:t xml:space="preserve">ampaign), </w:t>
      </w:r>
      <w:r w:rsidR="003F6FDA">
        <w:t>an</w:t>
      </w:r>
      <w:r w:rsidR="003F6FDA" w:rsidRPr="00806647">
        <w:t xml:space="preserve"> ongoing </w:t>
      </w:r>
      <w:r w:rsidR="003F6FDA">
        <w:t xml:space="preserve">FWO audit </w:t>
      </w:r>
      <w:r w:rsidR="003F6FDA" w:rsidRPr="00806647">
        <w:t xml:space="preserve">program </w:t>
      </w:r>
      <w:r w:rsidR="003F6FDA">
        <w:t xml:space="preserve">that re-audits previously non-compliant </w:t>
      </w:r>
      <w:r w:rsidR="003F6FDA">
        <w:rPr>
          <w:rFonts w:cs="Helvetica"/>
        </w:rPr>
        <w:t>employers.</w:t>
      </w:r>
    </w:p>
    <w:p w14:paraId="06F0EA8C" w14:textId="1E8E4752" w:rsidR="0074584F" w:rsidRDefault="0074584F" w:rsidP="00D83E3C">
      <w:pPr>
        <w:rPr>
          <w:rFonts w:cs="Helvetica"/>
          <w:szCs w:val="22"/>
        </w:rPr>
      </w:pPr>
      <w:r>
        <w:rPr>
          <w:rFonts w:cs="Helvetica"/>
        </w:rPr>
        <w:t xml:space="preserve">During the </w:t>
      </w:r>
      <w:r w:rsidR="00F26305">
        <w:rPr>
          <w:rFonts w:cs="Helvetica"/>
        </w:rPr>
        <w:t>C</w:t>
      </w:r>
      <w:r>
        <w:rPr>
          <w:rFonts w:cs="Helvetica"/>
        </w:rPr>
        <w:t xml:space="preserve">ampaign, </w:t>
      </w:r>
      <w:r w:rsidR="008B2870" w:rsidRPr="00D02334">
        <w:rPr>
          <w:rFonts w:cs="Helvetica"/>
        </w:rPr>
        <w:t xml:space="preserve">Fair Work Inspectors </w:t>
      </w:r>
      <w:r w:rsidR="003F6FDA">
        <w:rPr>
          <w:rFonts w:cs="Helvetica"/>
        </w:rPr>
        <w:t xml:space="preserve">revisited </w:t>
      </w:r>
      <w:r w:rsidR="008B2870" w:rsidRPr="00D02334">
        <w:rPr>
          <w:rFonts w:cs="Helvetica"/>
        </w:rPr>
        <w:t xml:space="preserve">479 </w:t>
      </w:r>
      <w:r w:rsidR="008B2870">
        <w:rPr>
          <w:rFonts w:cs="Helvetica"/>
        </w:rPr>
        <w:t>employers</w:t>
      </w:r>
      <w:r w:rsidR="008B2870" w:rsidRPr="00D02334">
        <w:rPr>
          <w:rFonts w:cs="Helvetica"/>
        </w:rPr>
        <w:t xml:space="preserve"> </w:t>
      </w:r>
      <w:r>
        <w:rPr>
          <w:rFonts w:cs="Helvetica"/>
        </w:rPr>
        <w:t>previously</w:t>
      </w:r>
      <w:r w:rsidR="00F26305">
        <w:rPr>
          <w:rFonts w:cs="Helvetica"/>
        </w:rPr>
        <w:t xml:space="preserve"> </w:t>
      </w:r>
      <w:r w:rsidR="00EF38A8">
        <w:rPr>
          <w:rFonts w:cs="Helvetica"/>
        </w:rPr>
        <w:t xml:space="preserve">found to be </w:t>
      </w:r>
      <w:r w:rsidR="008B2870">
        <w:rPr>
          <w:rFonts w:cs="Helvetica"/>
        </w:rPr>
        <w:t>in breach of their workplace relations obligations.</w:t>
      </w:r>
      <w:r w:rsidR="008B2870" w:rsidRPr="008B2870">
        <w:rPr>
          <w:rFonts w:cs="Helvetica"/>
        </w:rPr>
        <w:t xml:space="preserve"> </w:t>
      </w:r>
      <w:r w:rsidR="00712111">
        <w:rPr>
          <w:rFonts w:cs="Helvetica"/>
        </w:rPr>
        <w:t>The</w:t>
      </w:r>
      <w:r w:rsidR="00E97FFD">
        <w:rPr>
          <w:rFonts w:cs="Helvetica"/>
        </w:rPr>
        <w:t xml:space="preserve"> results of the Campaign</w:t>
      </w:r>
      <w:r w:rsidR="00712111">
        <w:rPr>
          <w:rFonts w:cs="Helvetica"/>
        </w:rPr>
        <w:t xml:space="preserve"> found that n</w:t>
      </w:r>
      <w:r w:rsidR="008B2870">
        <w:t xml:space="preserve">early two-thirds (62%) of </w:t>
      </w:r>
      <w:r>
        <w:t>these</w:t>
      </w:r>
      <w:r w:rsidR="008B2870">
        <w:t xml:space="preserve"> employ</w:t>
      </w:r>
      <w:r w:rsidR="00712111">
        <w:t>er</w:t>
      </w:r>
      <w:r w:rsidR="00C92C42">
        <w:t>s</w:t>
      </w:r>
      <w:r w:rsidR="00712111">
        <w:t xml:space="preserve"> </w:t>
      </w:r>
      <w:r w:rsidR="00F26305">
        <w:rPr>
          <w:rFonts w:cs="Helvetica"/>
          <w:szCs w:val="22"/>
        </w:rPr>
        <w:t xml:space="preserve">were </w:t>
      </w:r>
      <w:r w:rsidR="00490360">
        <w:rPr>
          <w:rFonts w:cs="Helvetica"/>
          <w:szCs w:val="22"/>
        </w:rPr>
        <w:t xml:space="preserve">now </w:t>
      </w:r>
      <w:r w:rsidR="00F26305">
        <w:rPr>
          <w:rFonts w:cs="Helvetica"/>
          <w:szCs w:val="22"/>
        </w:rPr>
        <w:t xml:space="preserve">fully </w:t>
      </w:r>
      <w:r w:rsidR="008B2870">
        <w:rPr>
          <w:rFonts w:cs="Helvetica"/>
          <w:szCs w:val="22"/>
        </w:rPr>
        <w:t>compliant</w:t>
      </w:r>
      <w:r w:rsidR="00EF38A8">
        <w:rPr>
          <w:rFonts w:cs="Helvetica"/>
          <w:szCs w:val="22"/>
        </w:rPr>
        <w:t>.</w:t>
      </w:r>
    </w:p>
    <w:p w14:paraId="4D3C6DF7" w14:textId="67675006" w:rsidR="008C4DE4" w:rsidRDefault="00B3232A" w:rsidP="00D83E3C">
      <w:pPr>
        <w:spacing w:before="120"/>
        <w:textAlignment w:val="center"/>
      </w:pPr>
      <w:r>
        <w:rPr>
          <w:rFonts w:cs="Helvetica"/>
          <w:szCs w:val="22"/>
        </w:rPr>
        <w:t>With respect to the</w:t>
      </w:r>
      <w:r w:rsidR="00E97FFD">
        <w:rPr>
          <w:rFonts w:cs="Helvetica"/>
          <w:szCs w:val="22"/>
        </w:rPr>
        <w:t xml:space="preserve"> </w:t>
      </w:r>
      <w:r w:rsidR="008B2870">
        <w:rPr>
          <w:rFonts w:cs="Helvetica"/>
          <w:szCs w:val="22"/>
        </w:rPr>
        <w:t xml:space="preserve">38% </w:t>
      </w:r>
      <w:r w:rsidR="00233907">
        <w:rPr>
          <w:rFonts w:cs="Helvetica"/>
          <w:szCs w:val="22"/>
        </w:rPr>
        <w:t xml:space="preserve">of businesses </w:t>
      </w:r>
      <w:r w:rsidR="00E97FFD">
        <w:rPr>
          <w:rFonts w:cs="Helvetica"/>
          <w:szCs w:val="22"/>
        </w:rPr>
        <w:t xml:space="preserve">that </w:t>
      </w:r>
      <w:r w:rsidR="00233907">
        <w:rPr>
          <w:rFonts w:cs="Helvetica"/>
          <w:szCs w:val="22"/>
        </w:rPr>
        <w:t>remained</w:t>
      </w:r>
      <w:r w:rsidR="008B2870">
        <w:rPr>
          <w:rFonts w:cs="Helvetica"/>
          <w:szCs w:val="22"/>
        </w:rPr>
        <w:t xml:space="preserve"> </w:t>
      </w:r>
      <w:r w:rsidR="003F6FDA">
        <w:rPr>
          <w:rFonts w:cs="Helvetica"/>
          <w:szCs w:val="22"/>
        </w:rPr>
        <w:t>non-complian</w:t>
      </w:r>
      <w:r w:rsidR="00987D93">
        <w:rPr>
          <w:rFonts w:cs="Helvetica"/>
          <w:szCs w:val="22"/>
        </w:rPr>
        <w:t>t with</w:t>
      </w:r>
      <w:r w:rsidR="00F53402">
        <w:rPr>
          <w:rFonts w:cs="Helvetica"/>
          <w:szCs w:val="22"/>
        </w:rPr>
        <w:t xml:space="preserve"> </w:t>
      </w:r>
      <w:r w:rsidR="00153566">
        <w:rPr>
          <w:rFonts w:cs="Helvetica"/>
          <w:szCs w:val="22"/>
        </w:rPr>
        <w:t>an</w:t>
      </w:r>
      <w:r w:rsidR="00F53402">
        <w:rPr>
          <w:rFonts w:cs="Helvetica"/>
          <w:szCs w:val="22"/>
        </w:rPr>
        <w:t xml:space="preserve"> aspect </w:t>
      </w:r>
      <w:r w:rsidR="008B2870">
        <w:rPr>
          <w:rFonts w:cs="Helvetica"/>
          <w:szCs w:val="22"/>
        </w:rPr>
        <w:t>of their workplace relations obligations</w:t>
      </w:r>
      <w:r>
        <w:rPr>
          <w:rFonts w:cs="Helvetica"/>
          <w:szCs w:val="22"/>
        </w:rPr>
        <w:t xml:space="preserve">, </w:t>
      </w:r>
      <w:r w:rsidR="00825BFC">
        <w:rPr>
          <w:rFonts w:cs="Helvetica"/>
          <w:szCs w:val="22"/>
        </w:rPr>
        <w:t xml:space="preserve">the FWO </w:t>
      </w:r>
      <w:r w:rsidR="00825BFC" w:rsidRPr="004C3A2B">
        <w:rPr>
          <w:rFonts w:cs="Helvetica"/>
          <w:szCs w:val="22"/>
        </w:rPr>
        <w:t>recovered</w:t>
      </w:r>
      <w:r w:rsidR="00825BFC" w:rsidRPr="004C3A2B">
        <w:rPr>
          <w:rFonts w:cs="Helvetica"/>
        </w:rPr>
        <w:t xml:space="preserve"> </w:t>
      </w:r>
      <w:r w:rsidR="008C4DE4" w:rsidRPr="004C3A2B">
        <w:t>$</w:t>
      </w:r>
      <w:r w:rsidR="003C21B0">
        <w:t>244 246</w:t>
      </w:r>
      <w:r w:rsidR="008C4DE4" w:rsidRPr="004C3A2B">
        <w:t xml:space="preserve"> from</w:t>
      </w:r>
      <w:r w:rsidR="004C3A2B">
        <w:t xml:space="preserve"> </w:t>
      </w:r>
      <w:r w:rsidR="004C3A2B" w:rsidRPr="004C3A2B">
        <w:t>9</w:t>
      </w:r>
      <w:r w:rsidR="003C21B0">
        <w:t>8</w:t>
      </w:r>
      <w:r w:rsidR="008C4DE4" w:rsidRPr="004C3A2B">
        <w:t xml:space="preserve"> employers for 34</w:t>
      </w:r>
      <w:r w:rsidR="003C21B0">
        <w:t>7</w:t>
      </w:r>
      <w:r w:rsidR="008C4DE4" w:rsidRPr="004C3A2B">
        <w:t xml:space="preserve"> workers.</w:t>
      </w:r>
    </w:p>
    <w:p w14:paraId="043DEBC3" w14:textId="624D752A" w:rsidR="000C691F" w:rsidRDefault="008C4DE4" w:rsidP="00D83E3C">
      <w:r>
        <w:rPr>
          <w:rFonts w:cs="Helvetica"/>
        </w:rPr>
        <w:t xml:space="preserve">In addition, as part of </w:t>
      </w:r>
      <w:r w:rsidR="003C21B0">
        <w:rPr>
          <w:rFonts w:cs="Helvetica"/>
        </w:rPr>
        <w:t>its</w:t>
      </w:r>
      <w:r>
        <w:rPr>
          <w:rFonts w:cs="Helvetica"/>
        </w:rPr>
        <w:t xml:space="preserve"> </w:t>
      </w:r>
      <w:r w:rsidR="003C21B0" w:rsidRPr="00C81B2C">
        <w:rPr>
          <w:rFonts w:cstheme="minorHAnsi"/>
          <w:szCs w:val="22"/>
        </w:rPr>
        <w:t xml:space="preserve">National </w:t>
      </w:r>
      <w:r w:rsidR="003C21B0">
        <w:rPr>
          <w:rFonts w:cstheme="minorHAnsi"/>
          <w:szCs w:val="22"/>
        </w:rPr>
        <w:t>Compliance Monitoring program</w:t>
      </w:r>
      <w:r>
        <w:rPr>
          <w:rFonts w:cs="Helvetica"/>
        </w:rPr>
        <w:t>, t</w:t>
      </w:r>
      <w:r w:rsidRPr="008566C5">
        <w:rPr>
          <w:szCs w:val="22"/>
        </w:rPr>
        <w:t>he FWO audited a selection of Chemist Warehouse stores</w:t>
      </w:r>
      <w:r>
        <w:rPr>
          <w:szCs w:val="22"/>
        </w:rPr>
        <w:t>.</w:t>
      </w:r>
      <w:r w:rsidRPr="009D1741">
        <w:rPr>
          <w:szCs w:val="22"/>
        </w:rPr>
        <w:t xml:space="preserve"> </w:t>
      </w:r>
      <w:r>
        <w:rPr>
          <w:szCs w:val="22"/>
        </w:rPr>
        <w:t xml:space="preserve"> </w:t>
      </w:r>
      <w:r w:rsidR="00F6448D">
        <w:rPr>
          <w:szCs w:val="22"/>
        </w:rPr>
        <w:t>In the course</w:t>
      </w:r>
      <w:r>
        <w:rPr>
          <w:szCs w:val="22"/>
        </w:rPr>
        <w:t xml:space="preserve"> of</w:t>
      </w:r>
      <w:r w:rsidR="003C21B0">
        <w:rPr>
          <w:szCs w:val="22"/>
        </w:rPr>
        <w:t xml:space="preserve"> </w:t>
      </w:r>
      <w:r w:rsidR="00043E1F">
        <w:rPr>
          <w:szCs w:val="22"/>
        </w:rPr>
        <w:t xml:space="preserve">these </w:t>
      </w:r>
      <w:r>
        <w:rPr>
          <w:szCs w:val="22"/>
        </w:rPr>
        <w:t>audits, t</w:t>
      </w:r>
      <w:r w:rsidRPr="008566C5">
        <w:rPr>
          <w:szCs w:val="22"/>
        </w:rPr>
        <w:t xml:space="preserve">he FWO asked </w:t>
      </w:r>
      <w:r>
        <w:rPr>
          <w:szCs w:val="22"/>
        </w:rPr>
        <w:t>Chemist Warehouse</w:t>
      </w:r>
      <w:r w:rsidRPr="008566C5">
        <w:rPr>
          <w:szCs w:val="22"/>
        </w:rPr>
        <w:t xml:space="preserve"> to check </w:t>
      </w:r>
      <w:r w:rsidR="00F6448D">
        <w:rPr>
          <w:szCs w:val="22"/>
        </w:rPr>
        <w:t>its</w:t>
      </w:r>
      <w:r w:rsidRPr="008566C5">
        <w:rPr>
          <w:szCs w:val="22"/>
        </w:rPr>
        <w:t xml:space="preserve"> </w:t>
      </w:r>
      <w:r w:rsidR="009E3C37">
        <w:rPr>
          <w:szCs w:val="22"/>
        </w:rPr>
        <w:t>network of stores</w:t>
      </w:r>
      <w:r w:rsidRPr="008566C5">
        <w:rPr>
          <w:szCs w:val="22"/>
        </w:rPr>
        <w:t xml:space="preserve"> </w:t>
      </w:r>
      <w:r>
        <w:rPr>
          <w:szCs w:val="22"/>
        </w:rPr>
        <w:t xml:space="preserve">had </w:t>
      </w:r>
      <w:r w:rsidRPr="008566C5">
        <w:rPr>
          <w:szCs w:val="22"/>
        </w:rPr>
        <w:t xml:space="preserve">paid staff correctly for compulsory online training. The company conducted a review and identified </w:t>
      </w:r>
      <w:r w:rsidR="00D152A9">
        <w:rPr>
          <w:szCs w:val="22"/>
        </w:rPr>
        <w:t>that 5</w:t>
      </w:r>
      <w:r w:rsidR="00F6448D">
        <w:rPr>
          <w:szCs w:val="22"/>
        </w:rPr>
        <w:t xml:space="preserve"> </w:t>
      </w:r>
      <w:r>
        <w:rPr>
          <w:szCs w:val="22"/>
        </w:rPr>
        <w:t>976 workers had been underpaid $3 569 212</w:t>
      </w:r>
      <w:r w:rsidRPr="008566C5">
        <w:rPr>
          <w:szCs w:val="22"/>
        </w:rPr>
        <w:t>.</w:t>
      </w:r>
      <w:r>
        <w:rPr>
          <w:szCs w:val="22"/>
        </w:rPr>
        <w:t xml:space="preserve"> This led </w:t>
      </w:r>
      <w:r w:rsidR="00D152A9">
        <w:rPr>
          <w:szCs w:val="22"/>
        </w:rPr>
        <w:t xml:space="preserve">to a compliance partnership between </w:t>
      </w:r>
      <w:r>
        <w:rPr>
          <w:szCs w:val="22"/>
        </w:rPr>
        <w:t xml:space="preserve">Chemist Warehouse </w:t>
      </w:r>
      <w:r w:rsidR="00D152A9">
        <w:rPr>
          <w:szCs w:val="22"/>
        </w:rPr>
        <w:t>and</w:t>
      </w:r>
      <w:r w:rsidRPr="008566C5">
        <w:t xml:space="preserve"> the FWO</w:t>
      </w:r>
      <w:r w:rsidR="00D152A9">
        <w:t xml:space="preserve">. </w:t>
      </w:r>
      <w:r>
        <w:rPr>
          <w:rFonts w:cs="Helvetica"/>
        </w:rPr>
        <w:t>The FWO’s consideration and treatment of the Chemist Warehouse service network</w:t>
      </w:r>
      <w:r w:rsidR="00F6448D">
        <w:rPr>
          <w:rFonts w:cs="Helvetica"/>
        </w:rPr>
        <w:t xml:space="preserve"> </w:t>
      </w:r>
      <w:r>
        <w:rPr>
          <w:rFonts w:cs="Helvetica"/>
        </w:rPr>
        <w:t>is the subject of a separate public report</w:t>
      </w:r>
      <w:r w:rsidR="00B04692">
        <w:rPr>
          <w:rFonts w:cs="Helvetica"/>
        </w:rPr>
        <w:t>.</w:t>
      </w:r>
      <w:r w:rsidR="000C691F">
        <w:rPr>
          <w:rStyle w:val="FootnoteReference"/>
        </w:rPr>
        <w:footnoteReference w:id="2"/>
      </w:r>
      <w:r w:rsidR="000C691F">
        <w:t xml:space="preserve">  </w:t>
      </w:r>
    </w:p>
    <w:p w14:paraId="6362BBB9" w14:textId="2E2F833D" w:rsidR="008B2870" w:rsidRDefault="00825BFC" w:rsidP="00D83E3C">
      <w:pPr>
        <w:rPr>
          <w:rFonts w:cs="Helvetica"/>
        </w:rPr>
      </w:pPr>
      <w:r>
        <w:rPr>
          <w:rFonts w:cs="Helvetica"/>
        </w:rPr>
        <w:t xml:space="preserve">Of the 184 employers identified as non-compliant, </w:t>
      </w:r>
      <w:r>
        <w:t>151 (82%) were subject to the use of FWO compliance and enforcement tools, including</w:t>
      </w:r>
      <w:r w:rsidR="004B78E0">
        <w:rPr>
          <w:rFonts w:cs="Helvetica"/>
        </w:rPr>
        <w:t>:</w:t>
      </w:r>
      <w:r w:rsidR="009A1DD0">
        <w:rPr>
          <w:rFonts w:cs="Helvetica"/>
        </w:rPr>
        <w:t xml:space="preserve"> </w:t>
      </w:r>
    </w:p>
    <w:p w14:paraId="5DC89141" w14:textId="77777777" w:rsidR="008B2870" w:rsidRPr="008E3F49" w:rsidRDefault="00F26305" w:rsidP="00825BFC">
      <w:pPr>
        <w:pStyle w:val="Bullet"/>
        <w:jc w:val="both"/>
      </w:pPr>
      <w:r>
        <w:t>56 I</w:t>
      </w:r>
      <w:r w:rsidR="008B2870" w:rsidRPr="008E3F49">
        <w:t xml:space="preserve">nfringement </w:t>
      </w:r>
      <w:r>
        <w:t>N</w:t>
      </w:r>
      <w:r w:rsidR="008B2870" w:rsidRPr="008E3F49">
        <w:t xml:space="preserve">otices </w:t>
      </w:r>
    </w:p>
    <w:p w14:paraId="72795DC6" w14:textId="77777777" w:rsidR="008B2870" w:rsidRPr="008E3F49" w:rsidRDefault="00F26305" w:rsidP="00825BFC">
      <w:pPr>
        <w:pStyle w:val="Bullet"/>
        <w:jc w:val="both"/>
      </w:pPr>
      <w:r>
        <w:t>16 C</w:t>
      </w:r>
      <w:r w:rsidR="008B2870" w:rsidRPr="008E3F49">
        <w:t xml:space="preserve">ompliance </w:t>
      </w:r>
      <w:r>
        <w:t>N</w:t>
      </w:r>
      <w:r w:rsidR="008B2870" w:rsidRPr="008E3F49">
        <w:t xml:space="preserve">otices </w:t>
      </w:r>
    </w:p>
    <w:p w14:paraId="350F7C1A" w14:textId="1334D968" w:rsidR="008B2870" w:rsidRDefault="00F26305" w:rsidP="00825BFC">
      <w:pPr>
        <w:pStyle w:val="Bullet"/>
        <w:jc w:val="both"/>
      </w:pPr>
      <w:r>
        <w:t xml:space="preserve">88 </w:t>
      </w:r>
      <w:r w:rsidR="007631DF">
        <w:t>Formal C</w:t>
      </w:r>
      <w:r w:rsidR="00233907">
        <w:t>autions</w:t>
      </w:r>
      <w:r w:rsidR="008B2870">
        <w:t>.</w:t>
      </w:r>
      <w:r w:rsidR="008B2870" w:rsidRPr="00B372AD">
        <w:t xml:space="preserve"> </w:t>
      </w:r>
    </w:p>
    <w:p w14:paraId="2E18BEFF" w14:textId="7FA30272" w:rsidR="008B2870" w:rsidRDefault="007B0F87" w:rsidP="00825BFC">
      <w:pPr>
        <w:spacing w:before="120"/>
        <w:rPr>
          <w:rFonts w:cs="Helvetica"/>
          <w:szCs w:val="22"/>
        </w:rPr>
      </w:pPr>
      <w:r>
        <w:rPr>
          <w:rFonts w:cs="Helvetica"/>
          <w:szCs w:val="22"/>
        </w:rPr>
        <w:t xml:space="preserve">Where </w:t>
      </w:r>
      <w:r w:rsidR="008B2870">
        <w:rPr>
          <w:rFonts w:cs="Helvetica"/>
          <w:szCs w:val="22"/>
        </w:rPr>
        <w:t>serious non-compliance</w:t>
      </w:r>
      <w:r w:rsidR="00C52A70">
        <w:rPr>
          <w:rFonts w:cs="Helvetica"/>
          <w:szCs w:val="22"/>
        </w:rPr>
        <w:t xml:space="preserve"> was identified</w:t>
      </w:r>
      <w:r>
        <w:rPr>
          <w:rFonts w:cs="Helvetica"/>
          <w:szCs w:val="22"/>
        </w:rPr>
        <w:t>, the FWO</w:t>
      </w:r>
      <w:r w:rsidR="008B2870">
        <w:rPr>
          <w:rFonts w:cs="Helvetica"/>
          <w:szCs w:val="22"/>
        </w:rPr>
        <w:t>:</w:t>
      </w:r>
    </w:p>
    <w:p w14:paraId="06641668" w14:textId="47B9CEE1" w:rsidR="006B1037" w:rsidRPr="006B1037" w:rsidRDefault="007B0F87" w:rsidP="00825BFC">
      <w:pPr>
        <w:pStyle w:val="Bullet"/>
        <w:jc w:val="both"/>
      </w:pPr>
      <w:r>
        <w:t>secured an e</w:t>
      </w:r>
      <w:r w:rsidR="008B2870" w:rsidRPr="006B1037">
        <w:t xml:space="preserve">nforceable </w:t>
      </w:r>
      <w:r>
        <w:t>u</w:t>
      </w:r>
      <w:r w:rsidR="008B2870" w:rsidRPr="006B1037">
        <w:t xml:space="preserve">ndertaking with a fast food employer </w:t>
      </w:r>
    </w:p>
    <w:p w14:paraId="48BC381F" w14:textId="7DA6D8C8" w:rsidR="00F26305" w:rsidRDefault="007B0F87" w:rsidP="00825BFC">
      <w:pPr>
        <w:pStyle w:val="Bullet"/>
        <w:jc w:val="both"/>
      </w:pPr>
      <w:r>
        <w:t>commenced legal proceedings against</w:t>
      </w:r>
      <w:r w:rsidR="008B2870" w:rsidRPr="006B1037">
        <w:t xml:space="preserve"> two employers </w:t>
      </w:r>
      <w:r>
        <w:t>resulting in</w:t>
      </w:r>
      <w:r w:rsidR="00EF38A8">
        <w:t xml:space="preserve"> a total of </w:t>
      </w:r>
      <w:r w:rsidR="008B2870" w:rsidRPr="006B1037">
        <w:t xml:space="preserve"> </w:t>
      </w:r>
      <w:r w:rsidR="00C34040">
        <w:t xml:space="preserve">$140 560 in </w:t>
      </w:r>
      <w:r w:rsidR="008B2870" w:rsidRPr="006B1037">
        <w:t>penalti</w:t>
      </w:r>
      <w:r>
        <w:t xml:space="preserve">es </w:t>
      </w:r>
    </w:p>
    <w:p w14:paraId="56EAA1B1" w14:textId="3D020355" w:rsidR="00F53402" w:rsidRDefault="007B0F87" w:rsidP="00825BFC">
      <w:pPr>
        <w:pStyle w:val="Bullet"/>
        <w:jc w:val="both"/>
      </w:pPr>
      <w:proofErr w:type="gramStart"/>
      <w:r>
        <w:t>entered</w:t>
      </w:r>
      <w:proofErr w:type="gramEnd"/>
      <w:r w:rsidR="00F53402">
        <w:t xml:space="preserve"> into a compliance partnership with </w:t>
      </w:r>
      <w:r>
        <w:t xml:space="preserve">the </w:t>
      </w:r>
      <w:r w:rsidR="00F53402">
        <w:t>Chemist Warehouse franchise network</w:t>
      </w:r>
      <w:r w:rsidR="009F65C7">
        <w:t>.</w:t>
      </w:r>
      <w:r w:rsidR="00F53402">
        <w:rPr>
          <w:rStyle w:val="FootnoteReference"/>
        </w:rPr>
        <w:footnoteReference w:id="3"/>
      </w:r>
    </w:p>
    <w:p w14:paraId="12B4E702" w14:textId="731FAA30" w:rsidR="00AE4A52" w:rsidRDefault="00DF3698" w:rsidP="00825BFC">
      <w:pPr>
        <w:textAlignment w:val="center"/>
        <w:rPr>
          <w:rFonts w:cs="Helvetica"/>
        </w:rPr>
      </w:pPr>
      <w:r>
        <w:rPr>
          <w:rFonts w:cs="Helvetica"/>
        </w:rPr>
        <w:t>T</w:t>
      </w:r>
      <w:r w:rsidR="001C6C5F">
        <w:rPr>
          <w:rFonts w:cs="Helvetica"/>
        </w:rPr>
        <w:t>he</w:t>
      </w:r>
      <w:r w:rsidR="00AE4A52">
        <w:rPr>
          <w:rFonts w:cs="Helvetica"/>
        </w:rPr>
        <w:t xml:space="preserve"> results of the Campaign</w:t>
      </w:r>
      <w:r w:rsidR="001C6C5F">
        <w:rPr>
          <w:rFonts w:cs="Helvetica"/>
        </w:rPr>
        <w:t xml:space="preserve"> confirm that a majority of employers operating in </w:t>
      </w:r>
      <w:r>
        <w:rPr>
          <w:rFonts w:cs="Helvetica"/>
        </w:rPr>
        <w:t xml:space="preserve">industries </w:t>
      </w:r>
      <w:r w:rsidR="001C6C5F">
        <w:rPr>
          <w:rFonts w:cs="Helvetica"/>
        </w:rPr>
        <w:t xml:space="preserve">susceptible </w:t>
      </w:r>
      <w:r>
        <w:rPr>
          <w:rFonts w:cs="Helvetica"/>
        </w:rPr>
        <w:t>to higher level</w:t>
      </w:r>
      <w:r w:rsidR="001C6C5F">
        <w:rPr>
          <w:rFonts w:cs="Helvetica"/>
        </w:rPr>
        <w:t>s</w:t>
      </w:r>
      <w:r>
        <w:rPr>
          <w:rFonts w:cs="Helvetica"/>
        </w:rPr>
        <w:t xml:space="preserve"> of non-compliance have </w:t>
      </w:r>
      <w:r w:rsidR="001C6C5F">
        <w:rPr>
          <w:rFonts w:cs="Helvetica"/>
        </w:rPr>
        <w:t xml:space="preserve">been </w:t>
      </w:r>
      <w:r>
        <w:rPr>
          <w:rFonts w:cs="Helvetica"/>
        </w:rPr>
        <w:t xml:space="preserve">responsive to </w:t>
      </w:r>
      <w:r w:rsidR="00825BFC">
        <w:rPr>
          <w:rFonts w:cs="Helvetica"/>
        </w:rPr>
        <w:t xml:space="preserve">FWO </w:t>
      </w:r>
      <w:r>
        <w:rPr>
          <w:rFonts w:cs="Helvetica"/>
        </w:rPr>
        <w:t xml:space="preserve">monitoring </w:t>
      </w:r>
      <w:r w:rsidR="00825BFC">
        <w:rPr>
          <w:rFonts w:cs="Helvetica"/>
        </w:rPr>
        <w:t xml:space="preserve">and intervention </w:t>
      </w:r>
      <w:r>
        <w:rPr>
          <w:rFonts w:cs="Helvetica"/>
        </w:rPr>
        <w:t xml:space="preserve">strategies. </w:t>
      </w:r>
    </w:p>
    <w:p w14:paraId="767003E5" w14:textId="2495DB25" w:rsidR="00B15D26" w:rsidRDefault="00AE4A52" w:rsidP="00825BFC">
      <w:pPr>
        <w:textAlignment w:val="center"/>
        <w:rPr>
          <w:rFonts w:eastAsiaTheme="minorHAnsi" w:cs="Times New Roman"/>
          <w:b/>
          <w:color w:val="17365D" w:themeColor="text2" w:themeShade="BF"/>
          <w:sz w:val="40"/>
          <w:szCs w:val="40"/>
          <w:lang w:eastAsia="en-AU"/>
        </w:rPr>
      </w:pPr>
      <w:r>
        <w:rPr>
          <w:rFonts w:cs="Helvetica"/>
        </w:rPr>
        <w:t xml:space="preserve">The </w:t>
      </w:r>
      <w:r w:rsidR="00CD61D8">
        <w:rPr>
          <w:rFonts w:cs="Helvetica"/>
        </w:rPr>
        <w:t xml:space="preserve">findings from the </w:t>
      </w:r>
      <w:r w:rsidR="001C6C5F">
        <w:rPr>
          <w:rFonts w:cs="Helvetica"/>
        </w:rPr>
        <w:t>C</w:t>
      </w:r>
      <w:r w:rsidR="001C6C5F" w:rsidRPr="00360BA8">
        <w:rPr>
          <w:rFonts w:cs="Helvetica"/>
        </w:rPr>
        <w:t>ampaign</w:t>
      </w:r>
      <w:r w:rsidR="00825BFC">
        <w:rPr>
          <w:rFonts w:cs="Helvetica"/>
        </w:rPr>
        <w:t xml:space="preserve"> also</w:t>
      </w:r>
      <w:r w:rsidR="001C6C5F" w:rsidRPr="00360BA8">
        <w:rPr>
          <w:rFonts w:cs="Helvetica"/>
        </w:rPr>
        <w:t xml:space="preserve"> </w:t>
      </w:r>
      <w:r w:rsidR="00CD61D8">
        <w:rPr>
          <w:rFonts w:cs="Helvetica"/>
        </w:rPr>
        <w:t xml:space="preserve">highlight the </w:t>
      </w:r>
      <w:r w:rsidR="00825BFC">
        <w:rPr>
          <w:rFonts w:cs="Helvetica"/>
        </w:rPr>
        <w:t>importance</w:t>
      </w:r>
      <w:r w:rsidR="00CD61D8">
        <w:rPr>
          <w:rFonts w:cs="Helvetica"/>
        </w:rPr>
        <w:t xml:space="preserve"> of</w:t>
      </w:r>
      <w:r w:rsidR="001C6C5F" w:rsidRPr="00360BA8">
        <w:rPr>
          <w:rFonts w:cs="Helvetica"/>
        </w:rPr>
        <w:t xml:space="preserve"> </w:t>
      </w:r>
      <w:r w:rsidR="00825BFC">
        <w:rPr>
          <w:rFonts w:cs="Helvetica"/>
        </w:rPr>
        <w:t xml:space="preserve">the regulator’s </w:t>
      </w:r>
      <w:r w:rsidR="001C6C5F" w:rsidRPr="00360BA8">
        <w:rPr>
          <w:rFonts w:cs="Helvetica"/>
        </w:rPr>
        <w:t>ongoing compliance monitoring</w:t>
      </w:r>
      <w:r w:rsidR="00CD61D8">
        <w:t>.</w:t>
      </w:r>
    </w:p>
    <w:p w14:paraId="42524EB2" w14:textId="7E41E859" w:rsidR="004A38A5" w:rsidRDefault="00825BFC" w:rsidP="00396B4E">
      <w:pPr>
        <w:pStyle w:val="Heading1"/>
      </w:pPr>
      <w:bookmarkStart w:id="27" w:name="_Toc526855132"/>
      <w:r>
        <w:br w:type="page"/>
      </w:r>
      <w:bookmarkStart w:id="28" w:name="_Toc527447234"/>
      <w:bookmarkStart w:id="29" w:name="_Toc528058395"/>
      <w:bookmarkStart w:id="30" w:name="_Toc528060221"/>
      <w:bookmarkStart w:id="31" w:name="_Toc529352618"/>
      <w:r w:rsidR="004A38A5">
        <w:lastRenderedPageBreak/>
        <w:t>Background</w:t>
      </w:r>
      <w:bookmarkEnd w:id="27"/>
      <w:bookmarkEnd w:id="28"/>
      <w:bookmarkEnd w:id="29"/>
      <w:bookmarkEnd w:id="30"/>
      <w:bookmarkEnd w:id="31"/>
    </w:p>
    <w:p w14:paraId="70EBD8C3" w14:textId="77777777" w:rsidR="000D08E1" w:rsidRDefault="000D08E1" w:rsidP="00D83E3C">
      <w:r>
        <w:t>In its commitment</w:t>
      </w:r>
      <w:r w:rsidR="00264288" w:rsidRPr="00806647">
        <w:t xml:space="preserve"> to </w:t>
      </w:r>
      <w:r>
        <w:t>buildin</w:t>
      </w:r>
      <w:r w:rsidR="00264288" w:rsidRPr="00806647">
        <w:t>g a culture of compliance with Australian</w:t>
      </w:r>
      <w:r>
        <w:t xml:space="preserve"> workplace laws, the </w:t>
      </w:r>
      <w:r w:rsidR="00264288">
        <w:t>FWO</w:t>
      </w:r>
      <w:r w:rsidR="00264288" w:rsidRPr="00806647">
        <w:t xml:space="preserve"> undertake</w:t>
      </w:r>
      <w:r w:rsidR="00264288">
        <w:t>s</w:t>
      </w:r>
      <w:r w:rsidR="00264288" w:rsidRPr="00806647">
        <w:t xml:space="preserve"> </w:t>
      </w:r>
      <w:r>
        <w:t xml:space="preserve">frequent and regular </w:t>
      </w:r>
      <w:r w:rsidR="00264288" w:rsidRPr="00806647">
        <w:t xml:space="preserve">education and compliance campaigns to assist </w:t>
      </w:r>
      <w:r w:rsidR="007922C2">
        <w:t>businesses</w:t>
      </w:r>
      <w:r w:rsidR="00264288" w:rsidRPr="00806647">
        <w:t xml:space="preserve"> comply with </w:t>
      </w:r>
      <w:r w:rsidR="00C50214">
        <w:t xml:space="preserve">their </w:t>
      </w:r>
      <w:r w:rsidR="00A74161">
        <w:t xml:space="preserve">workplace relations </w:t>
      </w:r>
      <w:r w:rsidR="00C50214">
        <w:t>obligation</w:t>
      </w:r>
      <w:r w:rsidR="009F72DE">
        <w:t>s</w:t>
      </w:r>
      <w:r w:rsidR="00264288" w:rsidRPr="00806647">
        <w:t xml:space="preserve">. </w:t>
      </w:r>
    </w:p>
    <w:p w14:paraId="3BCDDD47" w14:textId="3A63B950" w:rsidR="00662A76" w:rsidRDefault="00FC08BA" w:rsidP="00D83E3C">
      <w:pPr>
        <w:rPr>
          <w:rFonts w:cs="Helvetica"/>
        </w:rPr>
      </w:pPr>
      <w:r>
        <w:rPr>
          <w:rFonts w:cs="Helvetica"/>
        </w:rPr>
        <w:t xml:space="preserve">The FWO </w:t>
      </w:r>
      <w:r w:rsidRPr="00F40B22">
        <w:rPr>
          <w:rFonts w:cs="Helvetica"/>
        </w:rPr>
        <w:t xml:space="preserve">considers employers found in breach of their statutory obligations </w:t>
      </w:r>
      <w:r w:rsidR="007F194A">
        <w:rPr>
          <w:rFonts w:cs="Helvetica"/>
        </w:rPr>
        <w:t xml:space="preserve">during these interventions </w:t>
      </w:r>
      <w:r w:rsidRPr="00F40B22">
        <w:rPr>
          <w:rFonts w:cs="Helvetica"/>
        </w:rPr>
        <w:t xml:space="preserve">to </w:t>
      </w:r>
      <w:r w:rsidR="006F6491">
        <w:rPr>
          <w:rFonts w:cs="Helvetica"/>
        </w:rPr>
        <w:t xml:space="preserve">be </w:t>
      </w:r>
      <w:r w:rsidRPr="00F40B22">
        <w:rPr>
          <w:rFonts w:cs="Helvetica"/>
        </w:rPr>
        <w:t xml:space="preserve">at </w:t>
      </w:r>
      <w:r w:rsidR="006F6491">
        <w:rPr>
          <w:rFonts w:cs="Helvetica"/>
        </w:rPr>
        <w:t xml:space="preserve">a </w:t>
      </w:r>
      <w:r>
        <w:rPr>
          <w:rFonts w:cs="Helvetica"/>
        </w:rPr>
        <w:t>higher</w:t>
      </w:r>
      <w:r w:rsidRPr="00F40B22">
        <w:rPr>
          <w:rFonts w:cs="Helvetica"/>
        </w:rPr>
        <w:t xml:space="preserve"> risk of</w:t>
      </w:r>
      <w:r w:rsidR="00662A76">
        <w:rPr>
          <w:rFonts w:cs="Helvetica"/>
        </w:rPr>
        <w:t xml:space="preserve"> future</w:t>
      </w:r>
      <w:r w:rsidR="006F6491">
        <w:rPr>
          <w:rFonts w:cs="Helvetica"/>
        </w:rPr>
        <w:t xml:space="preserve"> </w:t>
      </w:r>
      <w:r w:rsidR="00662A76">
        <w:rPr>
          <w:rFonts w:cs="Helvetica"/>
        </w:rPr>
        <w:t>non-compliance</w:t>
      </w:r>
      <w:r w:rsidRPr="00F40B22">
        <w:rPr>
          <w:rFonts w:cs="Helvetica"/>
        </w:rPr>
        <w:t xml:space="preserve">. </w:t>
      </w:r>
    </w:p>
    <w:p w14:paraId="5B9E34AD" w14:textId="33C172D3" w:rsidR="00A03AAA" w:rsidRPr="00806647" w:rsidRDefault="00662A76" w:rsidP="00D83E3C">
      <w:r>
        <w:rPr>
          <w:rFonts w:cstheme="minorHAnsi"/>
          <w:szCs w:val="22"/>
        </w:rPr>
        <w:t>The</w:t>
      </w:r>
      <w:r w:rsidRPr="00F40B22">
        <w:rPr>
          <w:rFonts w:cs="Helvetica"/>
        </w:rPr>
        <w:t xml:space="preserve"> </w:t>
      </w:r>
      <w:r w:rsidR="009E15EF" w:rsidRPr="00C81B2C">
        <w:rPr>
          <w:rFonts w:cstheme="minorHAnsi"/>
          <w:szCs w:val="22"/>
        </w:rPr>
        <w:t>N</w:t>
      </w:r>
      <w:r w:rsidR="00A03AAA" w:rsidRPr="00C81B2C">
        <w:rPr>
          <w:rFonts w:cstheme="minorHAnsi"/>
          <w:szCs w:val="22"/>
        </w:rPr>
        <w:t xml:space="preserve">ational Compliance Monitoring </w:t>
      </w:r>
      <w:r w:rsidR="00A03AAA" w:rsidRPr="00806647">
        <w:t xml:space="preserve">(NCM) </w:t>
      </w:r>
      <w:r w:rsidR="00A03AAA">
        <w:t>is</w:t>
      </w:r>
      <w:r w:rsidR="00A03AAA" w:rsidRPr="00806647">
        <w:t xml:space="preserve"> </w:t>
      </w:r>
      <w:r w:rsidR="009F65C7">
        <w:t>a</w:t>
      </w:r>
      <w:r w:rsidR="00A03AAA" w:rsidRPr="00806647">
        <w:t xml:space="preserve"> </w:t>
      </w:r>
      <w:r w:rsidR="009F65C7">
        <w:t xml:space="preserve">FWO </w:t>
      </w:r>
      <w:r w:rsidR="00A03AAA" w:rsidRPr="00806647">
        <w:t xml:space="preserve">program </w:t>
      </w:r>
      <w:r w:rsidR="009F65C7">
        <w:t>that</w:t>
      </w:r>
      <w:r w:rsidR="0023130D">
        <w:t xml:space="preserve"> </w:t>
      </w:r>
      <w:r w:rsidR="00A03AAA">
        <w:t>re-audit</w:t>
      </w:r>
      <w:r w:rsidR="003F6FDA">
        <w:t>s previously non-complia</w:t>
      </w:r>
      <w:r w:rsidR="009F65C7">
        <w:t>nt</w:t>
      </w:r>
      <w:r w:rsidR="00264288">
        <w:t xml:space="preserve"> </w:t>
      </w:r>
      <w:r w:rsidR="00A03AAA">
        <w:rPr>
          <w:rFonts w:cs="Helvetica"/>
        </w:rPr>
        <w:t>employers</w:t>
      </w:r>
      <w:r w:rsidR="0023130D">
        <w:rPr>
          <w:rFonts w:cs="Helvetica"/>
        </w:rPr>
        <w:t>.</w:t>
      </w:r>
      <w:r w:rsidR="00A03AAA">
        <w:rPr>
          <w:rStyle w:val="FootnoteReference"/>
        </w:rPr>
        <w:footnoteReference w:id="4"/>
      </w:r>
      <w:r w:rsidR="00AC73C3">
        <w:t xml:space="preserve"> </w:t>
      </w:r>
      <w:r w:rsidR="00F63E87">
        <w:rPr>
          <w:rFonts w:cstheme="minorHAnsi"/>
          <w:szCs w:val="22"/>
        </w:rPr>
        <w:t xml:space="preserve"> </w:t>
      </w:r>
      <w:r w:rsidR="00A03AAA">
        <w:t>Through the program</w:t>
      </w:r>
      <w:r>
        <w:t>,</w:t>
      </w:r>
      <w:r w:rsidR="00A03AAA">
        <w:t xml:space="preserve"> the FWO:  </w:t>
      </w:r>
    </w:p>
    <w:p w14:paraId="5F57B806" w14:textId="452E0C59" w:rsidR="00A03AAA" w:rsidRPr="00256022" w:rsidRDefault="00A03AAA" w:rsidP="00D83E3C">
      <w:pPr>
        <w:pStyle w:val="Bullet"/>
      </w:pPr>
      <w:r w:rsidRPr="00F86567">
        <w:t>pr</w:t>
      </w:r>
      <w:r w:rsidRPr="00256022">
        <w:t>ovide</w:t>
      </w:r>
      <w:r>
        <w:t>s</w:t>
      </w:r>
      <w:r w:rsidRPr="00256022">
        <w:t xml:space="preserve"> further assistance to </w:t>
      </w:r>
      <w:r>
        <w:t xml:space="preserve">employers who </w:t>
      </w:r>
      <w:r w:rsidR="009E15EF">
        <w:t xml:space="preserve">have </w:t>
      </w:r>
      <w:r w:rsidR="00884A95">
        <w:t>demonstrate</w:t>
      </w:r>
      <w:r w:rsidR="0023130D">
        <w:t>d</w:t>
      </w:r>
      <w:r w:rsidR="00884A95">
        <w:t xml:space="preserve"> a commitment to </w:t>
      </w:r>
      <w:r w:rsidR="00662A76">
        <w:t xml:space="preserve">ongoing </w:t>
      </w:r>
      <w:r w:rsidR="00884A95">
        <w:t>compliance</w:t>
      </w:r>
      <w:r w:rsidR="00884A95" w:rsidDel="009E15EF">
        <w:t xml:space="preserve"> </w:t>
      </w:r>
    </w:p>
    <w:p w14:paraId="433B9C97" w14:textId="62BA2266" w:rsidR="00A03AAA" w:rsidRPr="00256022" w:rsidRDefault="00A03AAA" w:rsidP="00D83E3C">
      <w:pPr>
        <w:pStyle w:val="Bullet"/>
      </w:pPr>
      <w:r w:rsidRPr="00256022">
        <w:t>identif</w:t>
      </w:r>
      <w:r>
        <w:t>ies</w:t>
      </w:r>
      <w:r w:rsidRPr="00256022">
        <w:t xml:space="preserve"> </w:t>
      </w:r>
      <w:r w:rsidR="002928B0">
        <w:t>employers</w:t>
      </w:r>
      <w:r w:rsidRPr="00256022">
        <w:t xml:space="preserve"> that </w:t>
      </w:r>
      <w:r w:rsidR="00662A76">
        <w:t>have continued</w:t>
      </w:r>
      <w:r w:rsidRPr="00256022">
        <w:t xml:space="preserve"> to breach their workplace obligations</w:t>
      </w:r>
    </w:p>
    <w:p w14:paraId="60F32199" w14:textId="43C64F1F" w:rsidR="00A03AAA" w:rsidRPr="00256022" w:rsidRDefault="008D0A33" w:rsidP="00D83E3C">
      <w:pPr>
        <w:pStyle w:val="Bullet"/>
      </w:pPr>
      <w:proofErr w:type="gramStart"/>
      <w:r>
        <w:t>engages</w:t>
      </w:r>
      <w:proofErr w:type="gramEnd"/>
      <w:r>
        <w:t xml:space="preserve"> specific and general deterrence measures </w:t>
      </w:r>
      <w:r w:rsidR="00A03AAA" w:rsidRPr="00256022">
        <w:t xml:space="preserve">through </w:t>
      </w:r>
      <w:r>
        <w:t xml:space="preserve">its proportionate </w:t>
      </w:r>
      <w:r w:rsidR="00A03AAA" w:rsidRPr="00256022">
        <w:t xml:space="preserve">use of </w:t>
      </w:r>
      <w:r w:rsidR="00BA38DB">
        <w:t xml:space="preserve">compliance </w:t>
      </w:r>
      <w:r w:rsidR="00A03AAA" w:rsidRPr="00256022">
        <w:t xml:space="preserve">enforcement </w:t>
      </w:r>
      <w:r>
        <w:t>action</w:t>
      </w:r>
      <w:r w:rsidR="00A03AAA" w:rsidRPr="00256022">
        <w:t xml:space="preserve">s.  </w:t>
      </w:r>
    </w:p>
    <w:p w14:paraId="6A5CD521" w14:textId="77777777" w:rsidR="00A03AAA" w:rsidRPr="00806647" w:rsidRDefault="00A03AAA" w:rsidP="00D83E3C">
      <w:pPr>
        <w:rPr>
          <w:rFonts w:cs="Helvetica"/>
          <w:szCs w:val="22"/>
        </w:rPr>
      </w:pPr>
      <w:r>
        <w:rPr>
          <w:rFonts w:cs="Helvetica"/>
          <w:szCs w:val="22"/>
        </w:rPr>
        <w:t>The program has four main objectives. These are to</w:t>
      </w:r>
      <w:r w:rsidRPr="00806647">
        <w:rPr>
          <w:rFonts w:cs="Helvetica"/>
          <w:szCs w:val="22"/>
        </w:rPr>
        <w:t>:</w:t>
      </w:r>
    </w:p>
    <w:p w14:paraId="06693812" w14:textId="2FC477AB" w:rsidR="00A03AAA" w:rsidRDefault="00A03AAA" w:rsidP="00D83E3C">
      <w:pPr>
        <w:pStyle w:val="Bullet"/>
      </w:pPr>
      <w:r>
        <w:t xml:space="preserve">assess </w:t>
      </w:r>
      <w:r w:rsidR="008D0A33">
        <w:t>the compliance status of</w:t>
      </w:r>
      <w:r>
        <w:t xml:space="preserve"> previously non-compliant employers</w:t>
      </w:r>
      <w:r w:rsidRPr="00806647">
        <w:t xml:space="preserve"> </w:t>
      </w:r>
    </w:p>
    <w:p w14:paraId="0D98BF4B" w14:textId="36A5DC83" w:rsidR="00A03AAA" w:rsidRPr="00806647" w:rsidRDefault="00A03AAA" w:rsidP="00D83E3C">
      <w:pPr>
        <w:pStyle w:val="Bullet"/>
      </w:pPr>
      <w:r>
        <w:t xml:space="preserve">encourage </w:t>
      </w:r>
      <w:r w:rsidR="008D0A33">
        <w:t>sustainable</w:t>
      </w:r>
      <w:r>
        <w:t xml:space="preserve"> </w:t>
      </w:r>
      <w:r w:rsidR="00BA38DB">
        <w:t>compliance</w:t>
      </w:r>
    </w:p>
    <w:p w14:paraId="37EF4EED" w14:textId="77777777" w:rsidR="00A03AAA" w:rsidRDefault="00A03AAA" w:rsidP="00D83E3C">
      <w:pPr>
        <w:pStyle w:val="Bullet"/>
      </w:pPr>
      <w:r>
        <w:t>ensure proportionate,  escalated</w:t>
      </w:r>
      <w:r w:rsidRPr="00806647">
        <w:t xml:space="preserve"> enforcement action </w:t>
      </w:r>
      <w:r>
        <w:t>is taken to address persistent non-compliance</w:t>
      </w:r>
    </w:p>
    <w:p w14:paraId="72B3BA27" w14:textId="1D875025" w:rsidR="00A618BF" w:rsidRPr="00741B29" w:rsidRDefault="00A03AAA" w:rsidP="00D83E3C">
      <w:pPr>
        <w:pStyle w:val="Bullet"/>
        <w:rPr>
          <w:rFonts w:cs="Helvetica"/>
        </w:rPr>
      </w:pPr>
      <w:proofErr w:type="gramStart"/>
      <w:r w:rsidRPr="00F40B22">
        <w:t>assess</w:t>
      </w:r>
      <w:proofErr w:type="gramEnd"/>
      <w:r w:rsidRPr="00892B1A">
        <w:t xml:space="preserve"> the impact </w:t>
      </w:r>
      <w:r w:rsidRPr="00BA1BA8">
        <w:t>of earlier</w:t>
      </w:r>
      <w:r w:rsidR="00206034">
        <w:t xml:space="preserve"> FWO</w:t>
      </w:r>
      <w:r w:rsidRPr="00BA1BA8">
        <w:t xml:space="preserve"> interventions </w:t>
      </w:r>
      <w:r w:rsidR="00206034">
        <w:t xml:space="preserve">on employers </w:t>
      </w:r>
      <w:r w:rsidR="003F662B">
        <w:t xml:space="preserve">previously </w:t>
      </w:r>
      <w:r w:rsidR="008D0A33">
        <w:t>identified as non-complian</w:t>
      </w:r>
      <w:r w:rsidR="00206034">
        <w:t>t</w:t>
      </w:r>
      <w:r w:rsidR="003F662B">
        <w:t>.</w:t>
      </w:r>
      <w:r>
        <w:t xml:space="preserve"> </w:t>
      </w:r>
    </w:p>
    <w:p w14:paraId="41A95950" w14:textId="76B24F3F" w:rsidR="00741B29" w:rsidRPr="006A63A8" w:rsidRDefault="00741B29" w:rsidP="00D83E3C">
      <w:pPr>
        <w:rPr>
          <w:rFonts w:cs="Helvetica"/>
        </w:rPr>
      </w:pPr>
      <w:r>
        <w:rPr>
          <w:rFonts w:cs="Helvetica"/>
        </w:rPr>
        <w:t>By returning to monitor the compliance of individual employers previously found in breach of workplace relations obligations, Fair Work Inspector</w:t>
      </w:r>
      <w:r w:rsidR="00E06C16">
        <w:rPr>
          <w:rFonts w:cs="Helvetica"/>
        </w:rPr>
        <w:t>s</w:t>
      </w:r>
      <w:r w:rsidR="008D0A33">
        <w:rPr>
          <w:rFonts w:cs="Helvetica"/>
        </w:rPr>
        <w:t xml:space="preserve"> gain insights on </w:t>
      </w:r>
      <w:r w:rsidRPr="006A63A8">
        <w:rPr>
          <w:rFonts w:cs="Helvetica"/>
        </w:rPr>
        <w:t xml:space="preserve">the effectiveness of the earlier interaction </w:t>
      </w:r>
      <w:r w:rsidR="00EF38A8">
        <w:rPr>
          <w:rFonts w:cs="Helvetica"/>
        </w:rPr>
        <w:t xml:space="preserve">with the FWO </w:t>
      </w:r>
      <w:r w:rsidR="0023130D">
        <w:rPr>
          <w:rFonts w:cs="Helvetica"/>
        </w:rPr>
        <w:t xml:space="preserve">in changing </w:t>
      </w:r>
      <w:r>
        <w:rPr>
          <w:rFonts w:cs="Helvetica"/>
        </w:rPr>
        <w:t xml:space="preserve">an </w:t>
      </w:r>
      <w:r w:rsidRPr="006A63A8">
        <w:rPr>
          <w:rFonts w:cs="Helvetica"/>
        </w:rPr>
        <w:t>employer’s workplace practices</w:t>
      </w:r>
      <w:r w:rsidR="008D0A33">
        <w:rPr>
          <w:rFonts w:cs="Helvetica"/>
        </w:rPr>
        <w:t>, in particular, whether the prospect of a follow-up audit motivated the employer to adopt positive behaviours and changes.</w:t>
      </w:r>
    </w:p>
    <w:p w14:paraId="1CDEE307" w14:textId="00D2459B" w:rsidR="00741B29" w:rsidRDefault="00741B29" w:rsidP="00D83E3C">
      <w:pPr>
        <w:rPr>
          <w:rFonts w:cs="Helvetica"/>
        </w:rPr>
      </w:pPr>
      <w:r>
        <w:rPr>
          <w:rFonts w:cs="Helvetica"/>
        </w:rPr>
        <w:t xml:space="preserve">For some employers, </w:t>
      </w:r>
      <w:r w:rsidR="00E06C16">
        <w:rPr>
          <w:rFonts w:cs="Helvetica"/>
        </w:rPr>
        <w:t xml:space="preserve">an </w:t>
      </w:r>
      <w:r>
        <w:rPr>
          <w:rFonts w:cs="Helvetica"/>
        </w:rPr>
        <w:t xml:space="preserve">interaction with </w:t>
      </w:r>
      <w:r w:rsidR="00E06C16">
        <w:rPr>
          <w:rFonts w:cs="Helvetica"/>
        </w:rPr>
        <w:t>the FWO</w:t>
      </w:r>
      <w:r w:rsidR="0023130D">
        <w:rPr>
          <w:rFonts w:cs="Helvetica"/>
        </w:rPr>
        <w:t xml:space="preserve"> motivate</w:t>
      </w:r>
      <w:r w:rsidR="00E06C16">
        <w:rPr>
          <w:rFonts w:cs="Helvetica"/>
        </w:rPr>
        <w:t>s</w:t>
      </w:r>
      <w:r w:rsidR="0023130D">
        <w:rPr>
          <w:rFonts w:cs="Helvetica"/>
        </w:rPr>
        <w:t xml:space="preserve"> </w:t>
      </w:r>
      <w:r w:rsidR="008D0A33">
        <w:rPr>
          <w:rFonts w:cs="Helvetica"/>
        </w:rPr>
        <w:t>them to acquire</w:t>
      </w:r>
      <w:r>
        <w:rPr>
          <w:rFonts w:cs="Helvetica"/>
        </w:rPr>
        <w:t xml:space="preserve"> information and better understand their workplace relations obligations</w:t>
      </w:r>
      <w:r w:rsidR="004D6240">
        <w:rPr>
          <w:rFonts w:cs="Helvetica"/>
        </w:rPr>
        <w:t>. They</w:t>
      </w:r>
      <w:r>
        <w:rPr>
          <w:rFonts w:cs="Helvetica"/>
        </w:rPr>
        <w:t xml:space="preserve"> voluntarily rectify any errors and demonstrate </w:t>
      </w:r>
      <w:r w:rsidR="0023130D">
        <w:rPr>
          <w:rFonts w:cs="Helvetica"/>
        </w:rPr>
        <w:t xml:space="preserve">a </w:t>
      </w:r>
      <w:r>
        <w:rPr>
          <w:rFonts w:cs="Helvetica"/>
        </w:rPr>
        <w:t>willingness to prioriti</w:t>
      </w:r>
      <w:r w:rsidR="0023130D">
        <w:rPr>
          <w:rFonts w:cs="Helvetica"/>
        </w:rPr>
        <w:t>s</w:t>
      </w:r>
      <w:r>
        <w:rPr>
          <w:rFonts w:cs="Helvetica"/>
        </w:rPr>
        <w:t>e their workplace obligations</w:t>
      </w:r>
      <w:r w:rsidR="0023130D">
        <w:rPr>
          <w:rFonts w:cs="Helvetica"/>
        </w:rPr>
        <w:t xml:space="preserve"> on an ongoing basis, </w:t>
      </w:r>
      <w:r>
        <w:rPr>
          <w:rFonts w:cs="Helvetica"/>
        </w:rPr>
        <w:t>irrespective of the prospect of a follow-up audit</w:t>
      </w:r>
      <w:r w:rsidR="0023130D">
        <w:rPr>
          <w:rFonts w:cs="Helvetica"/>
        </w:rPr>
        <w:t>.</w:t>
      </w:r>
      <w:r>
        <w:rPr>
          <w:rStyle w:val="FootnoteReference"/>
        </w:rPr>
        <w:footnoteReference w:id="5"/>
      </w:r>
      <w:r>
        <w:rPr>
          <w:rFonts w:cs="Helvetica"/>
        </w:rPr>
        <w:t xml:space="preserve"> </w:t>
      </w:r>
    </w:p>
    <w:p w14:paraId="2DB83586" w14:textId="006CF252" w:rsidR="00741B29" w:rsidRDefault="008D0A33" w:rsidP="00D83E3C">
      <w:pPr>
        <w:rPr>
          <w:rFonts w:cs="Helvetica"/>
        </w:rPr>
      </w:pPr>
      <w:r>
        <w:rPr>
          <w:rFonts w:cs="Helvetica"/>
        </w:rPr>
        <w:lastRenderedPageBreak/>
        <w:t>T</w:t>
      </w:r>
      <w:r w:rsidR="00CC7825">
        <w:rPr>
          <w:rFonts w:cs="Helvetica"/>
        </w:rPr>
        <w:t xml:space="preserve">he FWO has </w:t>
      </w:r>
      <w:r>
        <w:rPr>
          <w:rFonts w:cs="Helvetica"/>
        </w:rPr>
        <w:t xml:space="preserve">also </w:t>
      </w:r>
      <w:r w:rsidR="00CC7825">
        <w:rPr>
          <w:rFonts w:cs="Helvetica"/>
        </w:rPr>
        <w:t>found that issuing</w:t>
      </w:r>
      <w:r w:rsidR="00E06C16">
        <w:rPr>
          <w:rFonts w:cs="Helvetica"/>
        </w:rPr>
        <w:t xml:space="preserve"> </w:t>
      </w:r>
      <w:r w:rsidR="00741B29">
        <w:rPr>
          <w:rFonts w:cs="Helvetica"/>
        </w:rPr>
        <w:t>a</w:t>
      </w:r>
      <w:r w:rsidR="00BA38DB">
        <w:rPr>
          <w:rFonts w:cs="Helvetica"/>
        </w:rPr>
        <w:t>n</w:t>
      </w:r>
      <w:r w:rsidR="00741B29">
        <w:rPr>
          <w:rFonts w:cs="Helvetica"/>
        </w:rPr>
        <w:t xml:space="preserve"> </w:t>
      </w:r>
      <w:r w:rsidR="00741B29" w:rsidRPr="009C5686">
        <w:rPr>
          <w:rFonts w:cs="Helvetica"/>
        </w:rPr>
        <w:t>Infringement Notice</w:t>
      </w:r>
      <w:r w:rsidR="00741B29">
        <w:rPr>
          <w:rFonts w:cs="Helvetica"/>
        </w:rPr>
        <w:t xml:space="preserve">, </w:t>
      </w:r>
      <w:r w:rsidR="007631DF">
        <w:rPr>
          <w:rFonts w:cs="Helvetica"/>
        </w:rPr>
        <w:t>F</w:t>
      </w:r>
      <w:r w:rsidR="005F2D85">
        <w:rPr>
          <w:rFonts w:cs="Helvetica"/>
        </w:rPr>
        <w:t xml:space="preserve">ormal </w:t>
      </w:r>
      <w:r w:rsidR="007631DF">
        <w:rPr>
          <w:rFonts w:cs="Helvetica"/>
        </w:rPr>
        <w:t>C</w:t>
      </w:r>
      <w:r w:rsidR="005F2D85">
        <w:rPr>
          <w:rFonts w:cs="Helvetica"/>
        </w:rPr>
        <w:t xml:space="preserve">aution </w:t>
      </w:r>
      <w:r w:rsidR="00741B29">
        <w:rPr>
          <w:rFonts w:cs="Helvetica"/>
        </w:rPr>
        <w:t xml:space="preserve">or </w:t>
      </w:r>
      <w:r w:rsidR="0023130D">
        <w:rPr>
          <w:rFonts w:cs="Helvetica"/>
        </w:rPr>
        <w:t>C</w:t>
      </w:r>
      <w:r w:rsidR="00741B29">
        <w:rPr>
          <w:rFonts w:cs="Helvetica"/>
        </w:rPr>
        <w:t xml:space="preserve">ompliance </w:t>
      </w:r>
      <w:r w:rsidR="0023130D">
        <w:rPr>
          <w:rFonts w:cs="Helvetica"/>
        </w:rPr>
        <w:t>N</w:t>
      </w:r>
      <w:r w:rsidR="00741B29">
        <w:rPr>
          <w:rFonts w:cs="Helvetica"/>
        </w:rPr>
        <w:t>otice during a</w:t>
      </w:r>
      <w:r>
        <w:rPr>
          <w:rFonts w:cs="Helvetica"/>
        </w:rPr>
        <w:t>n</w:t>
      </w:r>
      <w:r w:rsidR="00741B29">
        <w:rPr>
          <w:rFonts w:cs="Helvetica"/>
        </w:rPr>
        <w:t xml:space="preserve"> interaction </w:t>
      </w:r>
      <w:r w:rsidR="0023130D">
        <w:rPr>
          <w:rFonts w:cs="Helvetica"/>
        </w:rPr>
        <w:t xml:space="preserve">has </w:t>
      </w:r>
      <w:r w:rsidR="00741B29">
        <w:rPr>
          <w:rFonts w:cs="Helvetica"/>
        </w:rPr>
        <w:t>a</w:t>
      </w:r>
      <w:r w:rsidR="00C43A03">
        <w:rPr>
          <w:rFonts w:cs="Helvetica"/>
        </w:rPr>
        <w:t>n important</w:t>
      </w:r>
      <w:r w:rsidR="00741B29">
        <w:rPr>
          <w:rFonts w:cs="Helvetica"/>
        </w:rPr>
        <w:t xml:space="preserve"> deterrent effect. </w:t>
      </w:r>
      <w:r w:rsidR="00CC7825">
        <w:rPr>
          <w:rFonts w:cs="Helvetica"/>
        </w:rPr>
        <w:t>E</w:t>
      </w:r>
      <w:r w:rsidR="008C3D36">
        <w:rPr>
          <w:rFonts w:cs="Helvetica"/>
        </w:rPr>
        <w:t xml:space="preserve">mployers </w:t>
      </w:r>
      <w:r w:rsidR="00CC7825">
        <w:rPr>
          <w:rFonts w:cs="Helvetica"/>
        </w:rPr>
        <w:t>who receive these compliance tools usually</w:t>
      </w:r>
      <w:r w:rsidR="008C3D36">
        <w:rPr>
          <w:rFonts w:cs="Helvetica"/>
        </w:rPr>
        <w:t xml:space="preserve"> take steps to </w:t>
      </w:r>
      <w:r>
        <w:rPr>
          <w:rFonts w:cs="Helvetica"/>
        </w:rPr>
        <w:t xml:space="preserve">amend non-compliant behaviours in order to avoid the risk of </w:t>
      </w:r>
      <w:r w:rsidR="00741B29">
        <w:rPr>
          <w:rFonts w:cs="Helvetica"/>
        </w:rPr>
        <w:t xml:space="preserve">more serious sanctions </w:t>
      </w:r>
      <w:r>
        <w:rPr>
          <w:rFonts w:cs="Helvetica"/>
        </w:rPr>
        <w:t>from</w:t>
      </w:r>
      <w:r w:rsidR="00741B29">
        <w:rPr>
          <w:rFonts w:cs="Helvetica"/>
        </w:rPr>
        <w:t xml:space="preserve"> </w:t>
      </w:r>
      <w:r w:rsidR="008C3D36">
        <w:rPr>
          <w:rFonts w:cs="Helvetica"/>
        </w:rPr>
        <w:t xml:space="preserve">FWO </w:t>
      </w:r>
      <w:r w:rsidR="0024677B">
        <w:rPr>
          <w:rFonts w:cs="Helvetica"/>
        </w:rPr>
        <w:t xml:space="preserve">in the regulator’s future </w:t>
      </w:r>
      <w:r w:rsidR="00741B29">
        <w:rPr>
          <w:rFonts w:cs="Helvetica"/>
        </w:rPr>
        <w:t>compliance monitoring activities.</w:t>
      </w:r>
    </w:p>
    <w:p w14:paraId="44512AFD" w14:textId="77777777" w:rsidR="00EF38A8" w:rsidRDefault="00EF38A8">
      <w:pPr>
        <w:pStyle w:val="Calloutbox1"/>
      </w:pPr>
      <w:r>
        <w:t xml:space="preserve">Case study – taking steps to ‘get it right’ </w:t>
      </w:r>
    </w:p>
    <w:p w14:paraId="78EAF2A4" w14:textId="04991F95" w:rsidR="00062C67" w:rsidRPr="00924596" w:rsidRDefault="00231486" w:rsidP="00261EA4">
      <w:pPr>
        <w:pStyle w:val="Calloutbox1"/>
        <w:rPr>
          <w:b w:val="0"/>
        </w:rPr>
      </w:pPr>
      <w:r>
        <w:rPr>
          <w:b w:val="0"/>
        </w:rPr>
        <w:t xml:space="preserve">In 2014, </w:t>
      </w:r>
      <w:r w:rsidR="00062C67" w:rsidRPr="00924596">
        <w:rPr>
          <w:b w:val="0"/>
        </w:rPr>
        <w:t xml:space="preserve">Fair Work Inspectors audited a restaurant during the </w:t>
      </w:r>
      <w:r w:rsidR="00062C67" w:rsidRPr="00924596">
        <w:rPr>
          <w:b w:val="0"/>
          <w:i/>
        </w:rPr>
        <w:t>National Hospitality Campaign-Restaurants Cafes &amp; Catering</w:t>
      </w:r>
      <w:r w:rsidR="00062C67" w:rsidRPr="00924596">
        <w:rPr>
          <w:b w:val="0"/>
        </w:rPr>
        <w:t xml:space="preserve">. </w:t>
      </w:r>
      <w:r w:rsidR="00C43A03">
        <w:rPr>
          <w:b w:val="0"/>
        </w:rPr>
        <w:t xml:space="preserve">The business was </w:t>
      </w:r>
      <w:r w:rsidR="00C43A03" w:rsidRPr="00924596">
        <w:rPr>
          <w:b w:val="0"/>
        </w:rPr>
        <w:t>required to back-pay $1158 to th</w:t>
      </w:r>
      <w:r w:rsidR="00C43A03">
        <w:rPr>
          <w:b w:val="0"/>
        </w:rPr>
        <w:t>r</w:t>
      </w:r>
      <w:r w:rsidR="00C43A03" w:rsidRPr="00924596">
        <w:rPr>
          <w:b w:val="0"/>
        </w:rPr>
        <w:t>ee workers</w:t>
      </w:r>
      <w:r w:rsidR="00C43A03">
        <w:rPr>
          <w:b w:val="0"/>
        </w:rPr>
        <w:t xml:space="preserve"> after it was disclosed that the</w:t>
      </w:r>
      <w:r>
        <w:rPr>
          <w:b w:val="0"/>
        </w:rPr>
        <w:t xml:space="preserve"> e</w:t>
      </w:r>
      <w:r w:rsidR="00062C67" w:rsidRPr="00924596">
        <w:rPr>
          <w:b w:val="0"/>
        </w:rPr>
        <w:t xml:space="preserve">mployees </w:t>
      </w:r>
      <w:r w:rsidR="00C43A03">
        <w:rPr>
          <w:b w:val="0"/>
        </w:rPr>
        <w:t>were receiving</w:t>
      </w:r>
      <w:r w:rsidR="00062C67" w:rsidRPr="00924596">
        <w:rPr>
          <w:b w:val="0"/>
        </w:rPr>
        <w:t xml:space="preserve"> flat rates of pay </w:t>
      </w:r>
      <w:r>
        <w:rPr>
          <w:b w:val="0"/>
        </w:rPr>
        <w:t>that did not sufficiently cover</w:t>
      </w:r>
      <w:r w:rsidR="00062C67" w:rsidRPr="00924596">
        <w:rPr>
          <w:b w:val="0"/>
        </w:rPr>
        <w:t xml:space="preserve"> weekend penalty rates</w:t>
      </w:r>
      <w:r w:rsidR="00C43A03">
        <w:rPr>
          <w:b w:val="0"/>
        </w:rPr>
        <w:t>.</w:t>
      </w:r>
      <w:r w:rsidR="00062C67" w:rsidRPr="00924596">
        <w:rPr>
          <w:b w:val="0"/>
        </w:rPr>
        <w:t xml:space="preserve"> </w:t>
      </w:r>
    </w:p>
    <w:p w14:paraId="686B6966" w14:textId="45B94BAA" w:rsidR="00062C67" w:rsidRPr="00924596" w:rsidRDefault="00737CD4" w:rsidP="00261EA4">
      <w:pPr>
        <w:pStyle w:val="Calloutbox1"/>
        <w:rPr>
          <w:b w:val="0"/>
        </w:rPr>
      </w:pPr>
      <w:r>
        <w:rPr>
          <w:b w:val="0"/>
        </w:rPr>
        <w:t xml:space="preserve">The </w:t>
      </w:r>
      <w:r w:rsidR="00EF38A8">
        <w:rPr>
          <w:b w:val="0"/>
        </w:rPr>
        <w:t>FWO</w:t>
      </w:r>
      <w:r w:rsidR="002C5DFE" w:rsidRPr="00924596">
        <w:rPr>
          <w:b w:val="0"/>
        </w:rPr>
        <w:t xml:space="preserve"> </w:t>
      </w:r>
      <w:r w:rsidR="00062C67" w:rsidRPr="00924596">
        <w:rPr>
          <w:b w:val="0"/>
        </w:rPr>
        <w:t xml:space="preserve">re-audited </w:t>
      </w:r>
      <w:r w:rsidR="002C5DFE">
        <w:rPr>
          <w:b w:val="0"/>
        </w:rPr>
        <w:t xml:space="preserve">the employer </w:t>
      </w:r>
      <w:r w:rsidR="00231486">
        <w:rPr>
          <w:b w:val="0"/>
        </w:rPr>
        <w:t xml:space="preserve">in 2016 </w:t>
      </w:r>
      <w:r w:rsidR="00062C67" w:rsidRPr="00924596">
        <w:rPr>
          <w:b w:val="0"/>
        </w:rPr>
        <w:t xml:space="preserve">during the </w:t>
      </w:r>
      <w:r w:rsidR="00062C67" w:rsidRPr="00924596">
        <w:rPr>
          <w:b w:val="0"/>
          <w:i/>
        </w:rPr>
        <w:t>FWO/ASIC – Brisbane Metro Joint Initiative</w:t>
      </w:r>
      <w:r w:rsidR="00062C67" w:rsidRPr="00924596">
        <w:rPr>
          <w:b w:val="0"/>
        </w:rPr>
        <w:t xml:space="preserve">.  The employer </w:t>
      </w:r>
      <w:r w:rsidR="002C5DFE">
        <w:rPr>
          <w:b w:val="0"/>
        </w:rPr>
        <w:t>had</w:t>
      </w:r>
      <w:r w:rsidR="00062C67" w:rsidRPr="00924596">
        <w:rPr>
          <w:b w:val="0"/>
        </w:rPr>
        <w:t xml:space="preserve"> </w:t>
      </w:r>
      <w:r w:rsidR="00231486">
        <w:rPr>
          <w:b w:val="0"/>
        </w:rPr>
        <w:t xml:space="preserve">continued to pay </w:t>
      </w:r>
      <w:r w:rsidR="002C5DFE">
        <w:rPr>
          <w:b w:val="0"/>
        </w:rPr>
        <w:t xml:space="preserve">employees </w:t>
      </w:r>
      <w:r w:rsidR="00062C67" w:rsidRPr="00924596">
        <w:rPr>
          <w:b w:val="0"/>
        </w:rPr>
        <w:t>a flat</w:t>
      </w:r>
      <w:r w:rsidR="002C5DFE">
        <w:rPr>
          <w:b w:val="0"/>
        </w:rPr>
        <w:t xml:space="preserve"> </w:t>
      </w:r>
      <w:r w:rsidR="00062C67" w:rsidRPr="00924596">
        <w:rPr>
          <w:b w:val="0"/>
        </w:rPr>
        <w:t xml:space="preserve">“market rate” </w:t>
      </w:r>
      <w:r w:rsidR="00231486">
        <w:rPr>
          <w:b w:val="0"/>
        </w:rPr>
        <w:t xml:space="preserve">(ostensibly, </w:t>
      </w:r>
      <w:r w:rsidR="00062C67" w:rsidRPr="00924596">
        <w:rPr>
          <w:b w:val="0"/>
        </w:rPr>
        <w:t>to compete with local businesses</w:t>
      </w:r>
      <w:r w:rsidR="00231486">
        <w:rPr>
          <w:b w:val="0"/>
        </w:rPr>
        <w:t>) that was insufficient to cover non-ordinary hour</w:t>
      </w:r>
      <w:r w:rsidR="003B0AFA">
        <w:rPr>
          <w:b w:val="0"/>
        </w:rPr>
        <w:t>ly</w:t>
      </w:r>
      <w:r w:rsidR="00231486">
        <w:rPr>
          <w:b w:val="0"/>
        </w:rPr>
        <w:t xml:space="preserve"> rates and allowances</w:t>
      </w:r>
      <w:r w:rsidR="00062C67" w:rsidRPr="00924596">
        <w:rPr>
          <w:b w:val="0"/>
        </w:rPr>
        <w:t xml:space="preserve">. </w:t>
      </w:r>
      <w:r w:rsidR="002C5DFE" w:rsidRPr="00924596">
        <w:rPr>
          <w:b w:val="0"/>
        </w:rPr>
        <w:t xml:space="preserve">Fair Work Inspectors </w:t>
      </w:r>
      <w:r w:rsidR="002C5DFE">
        <w:rPr>
          <w:b w:val="0"/>
        </w:rPr>
        <w:t xml:space="preserve">recovered </w:t>
      </w:r>
      <w:r w:rsidR="00062C67" w:rsidRPr="00924596">
        <w:rPr>
          <w:b w:val="0"/>
        </w:rPr>
        <w:t xml:space="preserve">$6000 </w:t>
      </w:r>
      <w:r w:rsidR="002C5DFE">
        <w:rPr>
          <w:b w:val="0"/>
        </w:rPr>
        <w:t>for</w:t>
      </w:r>
      <w:r w:rsidR="002C5DFE" w:rsidRPr="00924596">
        <w:rPr>
          <w:b w:val="0"/>
        </w:rPr>
        <w:t xml:space="preserve"> </w:t>
      </w:r>
      <w:r w:rsidR="00231486">
        <w:rPr>
          <w:b w:val="0"/>
        </w:rPr>
        <w:t xml:space="preserve">four employees and issued the employer with </w:t>
      </w:r>
      <w:r w:rsidR="007631DF">
        <w:rPr>
          <w:b w:val="0"/>
        </w:rPr>
        <w:t>a F</w:t>
      </w:r>
      <w:r w:rsidR="00062C67" w:rsidRPr="00924596">
        <w:rPr>
          <w:b w:val="0"/>
        </w:rPr>
        <w:t xml:space="preserve">ormal </w:t>
      </w:r>
      <w:r w:rsidR="007631DF">
        <w:rPr>
          <w:b w:val="0"/>
        </w:rPr>
        <w:t>C</w:t>
      </w:r>
      <w:r w:rsidR="00062C67" w:rsidRPr="00924596">
        <w:rPr>
          <w:b w:val="0"/>
        </w:rPr>
        <w:t xml:space="preserve">aution, </w:t>
      </w:r>
      <w:r w:rsidR="00231486">
        <w:rPr>
          <w:b w:val="0"/>
        </w:rPr>
        <w:t xml:space="preserve">putting the employer on notice </w:t>
      </w:r>
      <w:r w:rsidR="003B0AFA">
        <w:rPr>
          <w:b w:val="0"/>
        </w:rPr>
        <w:t xml:space="preserve">that </w:t>
      </w:r>
      <w:r w:rsidR="00062C67" w:rsidRPr="00924596">
        <w:rPr>
          <w:b w:val="0"/>
        </w:rPr>
        <w:t>the FWO would</w:t>
      </w:r>
      <w:r w:rsidR="002C5DFE">
        <w:rPr>
          <w:b w:val="0"/>
        </w:rPr>
        <w:t xml:space="preserve"> likely</w:t>
      </w:r>
      <w:r w:rsidR="00062C67" w:rsidRPr="00924596">
        <w:rPr>
          <w:b w:val="0"/>
        </w:rPr>
        <w:t xml:space="preserve"> commence legal proc</w:t>
      </w:r>
      <w:r w:rsidR="00231486">
        <w:rPr>
          <w:b w:val="0"/>
        </w:rPr>
        <w:t>eedings if it identified future</w:t>
      </w:r>
      <w:r w:rsidR="00062C67" w:rsidRPr="00924596">
        <w:rPr>
          <w:b w:val="0"/>
        </w:rPr>
        <w:t xml:space="preserve"> non-compliance.</w:t>
      </w:r>
    </w:p>
    <w:p w14:paraId="751EB28E" w14:textId="029C9D8F" w:rsidR="00741B29" w:rsidRPr="008748E6" w:rsidRDefault="00521141" w:rsidP="008748E6">
      <w:pPr>
        <w:pStyle w:val="Calloutbox1"/>
        <w:rPr>
          <w:b w:val="0"/>
        </w:rPr>
      </w:pPr>
      <w:r>
        <w:rPr>
          <w:b w:val="0"/>
        </w:rPr>
        <w:t xml:space="preserve">When </w:t>
      </w:r>
      <w:r w:rsidR="00062C67" w:rsidRPr="00924596">
        <w:rPr>
          <w:b w:val="0"/>
        </w:rPr>
        <w:t>Fair Work Inspectors return</w:t>
      </w:r>
      <w:r>
        <w:rPr>
          <w:b w:val="0"/>
        </w:rPr>
        <w:t xml:space="preserve">ed </w:t>
      </w:r>
      <w:r w:rsidR="00231486">
        <w:rPr>
          <w:b w:val="0"/>
        </w:rPr>
        <w:t>in</w:t>
      </w:r>
      <w:r w:rsidR="00062C67" w:rsidRPr="00924596">
        <w:rPr>
          <w:b w:val="0"/>
        </w:rPr>
        <w:t xml:space="preserve"> </w:t>
      </w:r>
      <w:r w:rsidR="00062C67" w:rsidRPr="00832C2D">
        <w:rPr>
          <w:b w:val="0"/>
          <w:i/>
        </w:rPr>
        <w:t xml:space="preserve">National Compliance Monitoring </w:t>
      </w:r>
      <w:r w:rsidRPr="00832C2D">
        <w:rPr>
          <w:b w:val="0"/>
          <w:i/>
        </w:rPr>
        <w:t>C</w:t>
      </w:r>
      <w:r w:rsidR="00062C67" w:rsidRPr="00832C2D">
        <w:rPr>
          <w:b w:val="0"/>
          <w:i/>
        </w:rPr>
        <w:t>ampaign</w:t>
      </w:r>
      <w:r w:rsidR="00231486">
        <w:rPr>
          <w:b w:val="0"/>
          <w:i/>
        </w:rPr>
        <w:t xml:space="preserve"> #2</w:t>
      </w:r>
      <w:r w:rsidR="00062C67" w:rsidRPr="00832C2D">
        <w:rPr>
          <w:b w:val="0"/>
          <w:i/>
        </w:rPr>
        <w:t>,</w:t>
      </w:r>
      <w:r w:rsidR="00062C67" w:rsidRPr="00924596">
        <w:rPr>
          <w:b w:val="0"/>
        </w:rPr>
        <w:t xml:space="preserve"> they found </w:t>
      </w:r>
      <w:r w:rsidR="007631DF">
        <w:rPr>
          <w:b w:val="0"/>
        </w:rPr>
        <w:t xml:space="preserve">that the </w:t>
      </w:r>
      <w:r w:rsidR="00062C67" w:rsidRPr="00924596">
        <w:rPr>
          <w:b w:val="0"/>
        </w:rPr>
        <w:t xml:space="preserve">employer </w:t>
      </w:r>
      <w:r w:rsidR="00EF38A8">
        <w:rPr>
          <w:b w:val="0"/>
        </w:rPr>
        <w:t xml:space="preserve">was </w:t>
      </w:r>
      <w:r>
        <w:rPr>
          <w:b w:val="0"/>
        </w:rPr>
        <w:t>f</w:t>
      </w:r>
      <w:r w:rsidR="00062C67" w:rsidRPr="00924596">
        <w:rPr>
          <w:b w:val="0"/>
        </w:rPr>
        <w:t xml:space="preserve">ully compliant with </w:t>
      </w:r>
      <w:r>
        <w:rPr>
          <w:b w:val="0"/>
        </w:rPr>
        <w:t xml:space="preserve">their </w:t>
      </w:r>
      <w:r w:rsidR="00062C67" w:rsidRPr="00924596">
        <w:rPr>
          <w:b w:val="0"/>
        </w:rPr>
        <w:t>workplace relations</w:t>
      </w:r>
      <w:r>
        <w:rPr>
          <w:b w:val="0"/>
        </w:rPr>
        <w:t xml:space="preserve"> obligations.</w:t>
      </w:r>
    </w:p>
    <w:p w14:paraId="35B4DBC3" w14:textId="77777777" w:rsidR="004A38A5" w:rsidRDefault="004A38A5" w:rsidP="005F0C2A">
      <w:pPr>
        <w:textAlignment w:val="center"/>
        <w:rPr>
          <w:color w:val="1F497D"/>
        </w:rPr>
      </w:pPr>
    </w:p>
    <w:p w14:paraId="765F8A26" w14:textId="77777777" w:rsidR="008C3D36" w:rsidRDefault="008C3D36">
      <w:pPr>
        <w:spacing w:after="0" w:line="240" w:lineRule="auto"/>
        <w:rPr>
          <w:rFonts w:eastAsiaTheme="minorHAnsi" w:cs="Helvetica"/>
          <w:b/>
          <w:color w:val="17365D" w:themeColor="text2" w:themeShade="BF"/>
          <w:sz w:val="40"/>
          <w:szCs w:val="40"/>
          <w:lang w:eastAsia="en-AU"/>
        </w:rPr>
      </w:pPr>
      <w:r>
        <w:rPr>
          <w:rFonts w:cs="Helvetica"/>
        </w:rPr>
        <w:br w:type="page"/>
      </w:r>
    </w:p>
    <w:p w14:paraId="4A43CA7E" w14:textId="3DBA7442" w:rsidR="00DB762F" w:rsidRPr="00DB762F" w:rsidRDefault="00DB762F" w:rsidP="00DB762F">
      <w:pPr>
        <w:pStyle w:val="Heading1"/>
      </w:pPr>
      <w:bookmarkStart w:id="32" w:name="_Toc527447235"/>
      <w:bookmarkStart w:id="33" w:name="_Toc528058396"/>
      <w:bookmarkStart w:id="34" w:name="_Toc528060222"/>
      <w:bookmarkStart w:id="35" w:name="_Toc529352619"/>
      <w:bookmarkStart w:id="36" w:name="_Toc526855133"/>
      <w:bookmarkStart w:id="37" w:name="_Toc520196388"/>
      <w:bookmarkStart w:id="38" w:name="_Toc520457103"/>
      <w:r w:rsidRPr="00DB762F">
        <w:lastRenderedPageBreak/>
        <w:t xml:space="preserve">National </w:t>
      </w:r>
      <w:r w:rsidR="0096684F">
        <w:t>C</w:t>
      </w:r>
      <w:r w:rsidRPr="00DB762F">
        <w:t xml:space="preserve">ompliance </w:t>
      </w:r>
      <w:r w:rsidR="0096684F">
        <w:t>M</w:t>
      </w:r>
      <w:r w:rsidRPr="00DB762F">
        <w:t xml:space="preserve">onitoring </w:t>
      </w:r>
      <w:r w:rsidR="0096684F">
        <w:t>C</w:t>
      </w:r>
      <w:r w:rsidRPr="00DB762F">
        <w:t xml:space="preserve">ampaign </w:t>
      </w:r>
      <w:r w:rsidR="008A7264">
        <w:t>#2</w:t>
      </w:r>
      <w:bookmarkEnd w:id="32"/>
      <w:bookmarkEnd w:id="33"/>
      <w:bookmarkEnd w:id="34"/>
      <w:bookmarkEnd w:id="35"/>
    </w:p>
    <w:bookmarkEnd w:id="36"/>
    <w:p w14:paraId="25BC12D3" w14:textId="3ED0381F" w:rsidR="00E9392F" w:rsidRDefault="000F5674" w:rsidP="00D346C9">
      <w:pPr>
        <w:jc w:val="both"/>
        <w:textAlignment w:val="center"/>
        <w:rPr>
          <w:rFonts w:cs="Helvetica"/>
        </w:rPr>
      </w:pPr>
      <w:r w:rsidRPr="00D02334">
        <w:rPr>
          <w:rFonts w:cs="Helvetica"/>
        </w:rPr>
        <w:t xml:space="preserve">Fair Work Inspectors </w:t>
      </w:r>
      <w:r w:rsidR="00B95E50">
        <w:rPr>
          <w:rFonts w:cs="Helvetica"/>
        </w:rPr>
        <w:t>re-</w:t>
      </w:r>
      <w:r w:rsidR="00AC35F6">
        <w:rPr>
          <w:rFonts w:cs="Helvetica"/>
        </w:rPr>
        <w:t xml:space="preserve">audited </w:t>
      </w:r>
      <w:r w:rsidRPr="00D02334">
        <w:rPr>
          <w:rFonts w:cs="Helvetica"/>
        </w:rPr>
        <w:t xml:space="preserve">479 </w:t>
      </w:r>
      <w:r w:rsidR="00B95E50">
        <w:rPr>
          <w:rFonts w:cs="Helvetica"/>
        </w:rPr>
        <w:t>employers</w:t>
      </w:r>
      <w:r w:rsidRPr="00D02334">
        <w:rPr>
          <w:rFonts w:cs="Helvetica"/>
        </w:rPr>
        <w:t xml:space="preserve"> </w:t>
      </w:r>
      <w:r w:rsidR="008C3D36">
        <w:rPr>
          <w:rFonts w:cs="Helvetica"/>
        </w:rPr>
        <w:t xml:space="preserve">found to be </w:t>
      </w:r>
      <w:r w:rsidR="008A7264">
        <w:rPr>
          <w:rFonts w:cs="Helvetica"/>
        </w:rPr>
        <w:t>previously non-compliant</w:t>
      </w:r>
      <w:r w:rsidR="00B95E50">
        <w:rPr>
          <w:rFonts w:cs="Helvetica"/>
        </w:rPr>
        <w:t>.</w:t>
      </w:r>
      <w:r w:rsidRPr="00D02334">
        <w:rPr>
          <w:rFonts w:cs="Helvetica"/>
        </w:rPr>
        <w:t xml:space="preserve"> </w:t>
      </w:r>
      <w:r w:rsidR="003A3334">
        <w:rPr>
          <w:rFonts w:cs="Helvetica"/>
        </w:rPr>
        <w:t>The</w:t>
      </w:r>
      <w:r w:rsidR="00A03AAA">
        <w:rPr>
          <w:rFonts w:cs="Helvetica"/>
        </w:rPr>
        <w:t xml:space="preserve"> nature of the</w:t>
      </w:r>
      <w:r w:rsidR="004925C2">
        <w:rPr>
          <w:rFonts w:cs="Helvetica"/>
        </w:rPr>
        <w:t xml:space="preserve">se earlier </w:t>
      </w:r>
      <w:r w:rsidR="009D2CBB">
        <w:rPr>
          <w:rFonts w:cs="Helvetica"/>
        </w:rPr>
        <w:t xml:space="preserve">breaches </w:t>
      </w:r>
      <w:r w:rsidR="003A3334">
        <w:rPr>
          <w:rFonts w:cs="Helvetica"/>
        </w:rPr>
        <w:t>varied significantly</w:t>
      </w:r>
      <w:r w:rsidR="00E9392F">
        <w:rPr>
          <w:rFonts w:cs="Helvetica"/>
        </w:rPr>
        <w:t>,</w:t>
      </w:r>
      <w:r w:rsidR="00D001E7">
        <w:rPr>
          <w:rFonts w:cs="Helvetica"/>
        </w:rPr>
        <w:t xml:space="preserve"> </w:t>
      </w:r>
      <w:r w:rsidR="00034329">
        <w:rPr>
          <w:rFonts w:cs="Helvetica"/>
        </w:rPr>
        <w:t>a</w:t>
      </w:r>
      <w:r w:rsidR="004925C2">
        <w:rPr>
          <w:rFonts w:cs="Helvetica"/>
        </w:rPr>
        <w:t xml:space="preserve">nd </w:t>
      </w:r>
      <w:r w:rsidR="00034329">
        <w:rPr>
          <w:rFonts w:cs="Helvetica"/>
        </w:rPr>
        <w:t>included:</w:t>
      </w:r>
      <w:r w:rsidR="00E9392F">
        <w:rPr>
          <w:rFonts w:cs="Helvetica"/>
        </w:rPr>
        <w:t xml:space="preserve"> </w:t>
      </w:r>
    </w:p>
    <w:p w14:paraId="3B2AF455" w14:textId="77777777" w:rsidR="00CE426D" w:rsidRPr="00D83E3C" w:rsidRDefault="00E9392F" w:rsidP="00D83E3C">
      <w:pPr>
        <w:pStyle w:val="Bullet"/>
      </w:pPr>
      <w:r w:rsidRPr="00D83E3C">
        <w:t>pay</w:t>
      </w:r>
      <w:r w:rsidR="008C3D36" w:rsidRPr="00D83E3C">
        <w:t xml:space="preserve"> </w:t>
      </w:r>
      <w:r w:rsidRPr="00D83E3C">
        <w:t>slip</w:t>
      </w:r>
      <w:r w:rsidR="00CE426D" w:rsidRPr="00D83E3C">
        <w:t xml:space="preserve"> or record-keeping </w:t>
      </w:r>
      <w:r w:rsidR="008C3D36" w:rsidRPr="00D83E3C">
        <w:t>errors</w:t>
      </w:r>
      <w:r w:rsidR="00CE426D" w:rsidRPr="00D83E3C">
        <w:t xml:space="preserve">  </w:t>
      </w:r>
    </w:p>
    <w:p w14:paraId="79EC25E2" w14:textId="77777777" w:rsidR="00CE426D" w:rsidRPr="00D83E3C" w:rsidRDefault="00CE426D" w:rsidP="00D83E3C">
      <w:pPr>
        <w:pStyle w:val="Bullet"/>
      </w:pPr>
      <w:r w:rsidRPr="00D83E3C">
        <w:t xml:space="preserve">failure to </w:t>
      </w:r>
      <w:r w:rsidR="00E9392F" w:rsidRPr="00D83E3C">
        <w:t>issue pay</w:t>
      </w:r>
      <w:r w:rsidR="008C3D36" w:rsidRPr="00D83E3C">
        <w:t xml:space="preserve"> </w:t>
      </w:r>
      <w:r w:rsidR="00E9392F" w:rsidRPr="00D83E3C">
        <w:t>slips or maintain records</w:t>
      </w:r>
    </w:p>
    <w:p w14:paraId="73765A77" w14:textId="77777777" w:rsidR="00CE426D" w:rsidRPr="00D83E3C" w:rsidRDefault="00CE426D" w:rsidP="00D83E3C">
      <w:pPr>
        <w:pStyle w:val="Bullet"/>
      </w:pPr>
      <w:r w:rsidRPr="00D83E3C">
        <w:t>minor underpayments arising from a misunderstanding of award obligations</w:t>
      </w:r>
    </w:p>
    <w:p w14:paraId="1E7981BE" w14:textId="77777777" w:rsidR="00CE426D" w:rsidRPr="00D83E3C" w:rsidRDefault="00CE426D" w:rsidP="00D83E3C">
      <w:pPr>
        <w:pStyle w:val="Bullet"/>
      </w:pPr>
      <w:r w:rsidRPr="00D83E3C">
        <w:t xml:space="preserve">multiple breaches of both monetary and non-monetary obligations </w:t>
      </w:r>
    </w:p>
    <w:p w14:paraId="367308E7" w14:textId="77777777" w:rsidR="00CE426D" w:rsidRPr="00D83E3C" w:rsidRDefault="00034329" w:rsidP="00D83E3C">
      <w:pPr>
        <w:pStyle w:val="Bullet"/>
      </w:pPr>
      <w:r w:rsidRPr="00D83E3C">
        <w:t>non-compliance</w:t>
      </w:r>
      <w:r w:rsidR="00CE426D" w:rsidRPr="00D83E3C">
        <w:t xml:space="preserve"> affecting vulnerable employees, including migrant and/or young workers</w:t>
      </w:r>
    </w:p>
    <w:p w14:paraId="76294634" w14:textId="77777777" w:rsidR="00CE426D" w:rsidRPr="00D83E3C" w:rsidRDefault="00034329" w:rsidP="00D83E3C">
      <w:pPr>
        <w:pStyle w:val="Bullet"/>
      </w:pPr>
      <w:proofErr w:type="gramStart"/>
      <w:r w:rsidRPr="00D83E3C">
        <w:t>non-compliance</w:t>
      </w:r>
      <w:proofErr w:type="gramEnd"/>
      <w:r w:rsidR="00260F93" w:rsidRPr="00D83E3C">
        <w:t xml:space="preserve"> resulting in the use of a FWO</w:t>
      </w:r>
      <w:r w:rsidR="00D02334" w:rsidRPr="00D83E3C">
        <w:t xml:space="preserve"> compliance and enforcement tool</w:t>
      </w:r>
      <w:r w:rsidR="008C3D36" w:rsidRPr="00D83E3C">
        <w:t>.</w:t>
      </w:r>
    </w:p>
    <w:p w14:paraId="28773340" w14:textId="6C98E799" w:rsidR="000F5674" w:rsidRPr="00D02334" w:rsidRDefault="00D346C9" w:rsidP="00D346C9">
      <w:pPr>
        <w:jc w:val="both"/>
        <w:textAlignment w:val="center"/>
        <w:rPr>
          <w:rFonts w:cs="Helvetica"/>
        </w:rPr>
      </w:pPr>
      <w:r>
        <w:rPr>
          <w:rFonts w:cs="Helvetica"/>
        </w:rPr>
        <w:t>The FWO relied upon these categories to select a mix of</w:t>
      </w:r>
      <w:r w:rsidR="000F5674" w:rsidRPr="00D02334">
        <w:rPr>
          <w:rFonts w:cs="Helvetica"/>
        </w:rPr>
        <w:t xml:space="preserve"> </w:t>
      </w:r>
      <w:r w:rsidR="00034329">
        <w:rPr>
          <w:rFonts w:cs="Helvetica"/>
        </w:rPr>
        <w:t xml:space="preserve">businesses </w:t>
      </w:r>
      <w:r w:rsidR="000F5674" w:rsidRPr="00D02334">
        <w:rPr>
          <w:rFonts w:cs="Helvetica"/>
        </w:rPr>
        <w:t>of different size</w:t>
      </w:r>
      <w:r w:rsidR="00A03AAA">
        <w:rPr>
          <w:rFonts w:cs="Helvetica"/>
        </w:rPr>
        <w:t>s</w:t>
      </w:r>
      <w:r w:rsidR="000F5674" w:rsidRPr="00D02334">
        <w:rPr>
          <w:rFonts w:cs="Helvetica"/>
        </w:rPr>
        <w:t xml:space="preserve"> across various industries and locations, </w:t>
      </w:r>
      <w:r w:rsidR="00A03AAA">
        <w:rPr>
          <w:rFonts w:cs="Helvetica"/>
        </w:rPr>
        <w:t xml:space="preserve">but </w:t>
      </w:r>
      <w:r w:rsidR="000F5674" w:rsidRPr="00D02334">
        <w:rPr>
          <w:rFonts w:cs="Helvetica"/>
        </w:rPr>
        <w:t>with a particular focus on industries with high levels of non-compliance, including:</w:t>
      </w:r>
    </w:p>
    <w:p w14:paraId="7FF5E98D" w14:textId="000BB86D" w:rsidR="000F5674" w:rsidRPr="00806647" w:rsidRDefault="00026DB4" w:rsidP="00D346C9">
      <w:pPr>
        <w:pStyle w:val="Bullet"/>
        <w:jc w:val="both"/>
      </w:pPr>
      <w:r>
        <w:t>A</w:t>
      </w:r>
      <w:r w:rsidR="000F5674" w:rsidRPr="00806647">
        <w:t xml:space="preserve">ccommodation and food services </w:t>
      </w:r>
    </w:p>
    <w:p w14:paraId="180DB51F" w14:textId="51B51098" w:rsidR="000F5674" w:rsidRPr="00806647" w:rsidRDefault="00026DB4" w:rsidP="00D346C9">
      <w:pPr>
        <w:pStyle w:val="Bullet"/>
        <w:jc w:val="both"/>
      </w:pPr>
      <w:r>
        <w:t>R</w:t>
      </w:r>
      <w:r w:rsidR="000F5674" w:rsidRPr="00806647">
        <w:t>etail</w:t>
      </w:r>
    </w:p>
    <w:p w14:paraId="60EA1324" w14:textId="6FB647A6" w:rsidR="000F5674" w:rsidRPr="00806647" w:rsidRDefault="00026DB4" w:rsidP="00D346C9">
      <w:pPr>
        <w:pStyle w:val="Bullet"/>
        <w:jc w:val="both"/>
      </w:pPr>
      <w:r>
        <w:t>C</w:t>
      </w:r>
      <w:r w:rsidR="000F5674" w:rsidRPr="00806647">
        <w:t xml:space="preserve">onstruction </w:t>
      </w:r>
    </w:p>
    <w:p w14:paraId="0EED44B7" w14:textId="0E239261" w:rsidR="008D0B40" w:rsidRDefault="00026DB4" w:rsidP="00D346C9">
      <w:pPr>
        <w:pStyle w:val="Bullet"/>
        <w:jc w:val="both"/>
      </w:pPr>
      <w:r>
        <w:t>M</w:t>
      </w:r>
      <w:r w:rsidR="00833AE6" w:rsidRPr="00F20877">
        <w:t>anufacturing</w:t>
      </w:r>
      <w:r w:rsidR="008D0B40">
        <w:t>.</w:t>
      </w:r>
    </w:p>
    <w:p w14:paraId="3F71E4E4" w14:textId="1C1C836C" w:rsidR="00E63F23" w:rsidRDefault="00CE6798" w:rsidP="00D346C9">
      <w:pPr>
        <w:jc w:val="both"/>
        <w:textAlignment w:val="center"/>
      </w:pPr>
      <w:r>
        <w:t>Some of the more</w:t>
      </w:r>
      <w:r w:rsidR="00E63F23">
        <w:t xml:space="preserve"> common awards applying to businesses audited in the </w:t>
      </w:r>
      <w:r w:rsidR="0096684F">
        <w:t>C</w:t>
      </w:r>
      <w:r w:rsidR="00E63F23">
        <w:t>ampaign included</w:t>
      </w:r>
      <w:r>
        <w:t>:</w:t>
      </w:r>
    </w:p>
    <w:p w14:paraId="0F66D274" w14:textId="77777777" w:rsidR="00CF2702" w:rsidRPr="00234C0E" w:rsidRDefault="00CF2702" w:rsidP="00D346C9">
      <w:pPr>
        <w:pStyle w:val="Bullet"/>
        <w:jc w:val="both"/>
        <w:rPr>
          <w:i/>
        </w:rPr>
      </w:pPr>
      <w:r w:rsidRPr="00234C0E">
        <w:rPr>
          <w:i/>
        </w:rPr>
        <w:t>Restaurant Industry Award 2010</w:t>
      </w:r>
    </w:p>
    <w:p w14:paraId="76A45486" w14:textId="77777777" w:rsidR="00CF2702" w:rsidRPr="00234C0E" w:rsidRDefault="00CF2702" w:rsidP="00D346C9">
      <w:pPr>
        <w:pStyle w:val="Bullet"/>
        <w:jc w:val="both"/>
        <w:rPr>
          <w:i/>
        </w:rPr>
      </w:pPr>
      <w:r w:rsidRPr="00234C0E">
        <w:rPr>
          <w:i/>
        </w:rPr>
        <w:t>General Retail Industry Award 2010</w:t>
      </w:r>
    </w:p>
    <w:p w14:paraId="194B9537" w14:textId="77777777" w:rsidR="00E63F23" w:rsidRPr="00234C0E" w:rsidRDefault="00833AE6" w:rsidP="00D346C9">
      <w:pPr>
        <w:pStyle w:val="Bullet"/>
        <w:jc w:val="both"/>
        <w:rPr>
          <w:i/>
        </w:rPr>
      </w:pPr>
      <w:r w:rsidRPr="00234C0E">
        <w:rPr>
          <w:i/>
        </w:rPr>
        <w:t>Fast Food Industry Award 2010</w:t>
      </w:r>
    </w:p>
    <w:p w14:paraId="03A80E44" w14:textId="77777777" w:rsidR="00CF2702" w:rsidRPr="00234C0E" w:rsidRDefault="00CF2702" w:rsidP="002351BB">
      <w:pPr>
        <w:pStyle w:val="Bullet"/>
        <w:rPr>
          <w:i/>
        </w:rPr>
      </w:pPr>
      <w:r w:rsidRPr="00234C0E">
        <w:rPr>
          <w:i/>
        </w:rPr>
        <w:t>Building and Construction General On-site Award 2010</w:t>
      </w:r>
    </w:p>
    <w:p w14:paraId="6137EB6B" w14:textId="77777777" w:rsidR="00E63F23" w:rsidRPr="00234C0E" w:rsidRDefault="00CE6798" w:rsidP="002351BB">
      <w:pPr>
        <w:pStyle w:val="Bullet"/>
        <w:rPr>
          <w:i/>
        </w:rPr>
      </w:pPr>
      <w:r w:rsidRPr="00234C0E">
        <w:rPr>
          <w:i/>
        </w:rPr>
        <w:t>Manufacturing and Associated Industries and Occupations Award 2010</w:t>
      </w:r>
      <w:r w:rsidR="008C3D36" w:rsidRPr="00234C0E">
        <w:rPr>
          <w:i/>
        </w:rPr>
        <w:t>.</w:t>
      </w:r>
      <w:r w:rsidRPr="00234C0E">
        <w:rPr>
          <w:i/>
        </w:rPr>
        <w:t xml:space="preserve"> </w:t>
      </w:r>
    </w:p>
    <w:p w14:paraId="4A097AF5" w14:textId="6D8E5072" w:rsidR="005338F5" w:rsidRDefault="000F5674" w:rsidP="00737CD4">
      <w:pPr>
        <w:rPr>
          <w:rFonts w:cs="Helvetica"/>
        </w:rPr>
      </w:pPr>
      <w:r w:rsidRPr="009C5686">
        <w:rPr>
          <w:rFonts w:cs="Helvetica"/>
        </w:rPr>
        <w:t>Fair Work Inspectors contacted</w:t>
      </w:r>
      <w:r w:rsidR="00D001E7">
        <w:rPr>
          <w:rFonts w:cs="Helvetica"/>
        </w:rPr>
        <w:t xml:space="preserve"> employers by phone</w:t>
      </w:r>
      <w:r w:rsidR="00107E02">
        <w:rPr>
          <w:rFonts w:cs="Helvetica"/>
        </w:rPr>
        <w:t xml:space="preserve"> and email </w:t>
      </w:r>
      <w:r w:rsidR="00D001E7">
        <w:rPr>
          <w:rFonts w:cs="Helvetica"/>
        </w:rPr>
        <w:t xml:space="preserve">to </w:t>
      </w:r>
      <w:r w:rsidRPr="001E6ED3">
        <w:rPr>
          <w:rFonts w:cs="Helvetica"/>
        </w:rPr>
        <w:t xml:space="preserve">explain the </w:t>
      </w:r>
      <w:r w:rsidR="0038679F">
        <w:rPr>
          <w:rFonts w:cs="Helvetica"/>
        </w:rPr>
        <w:t>C</w:t>
      </w:r>
      <w:r w:rsidRPr="001E6ED3">
        <w:rPr>
          <w:rFonts w:cs="Helvetica"/>
        </w:rPr>
        <w:t xml:space="preserve">ampaign’s purpose </w:t>
      </w:r>
      <w:r w:rsidR="00D001E7">
        <w:rPr>
          <w:rFonts w:cs="Helvetica"/>
        </w:rPr>
        <w:t xml:space="preserve">and to request a recent sample of employee time and wages records </w:t>
      </w:r>
      <w:r w:rsidR="000A3E52">
        <w:rPr>
          <w:rFonts w:cs="Helvetica"/>
        </w:rPr>
        <w:t>for</w:t>
      </w:r>
      <w:r w:rsidR="00D001E7">
        <w:rPr>
          <w:rFonts w:cs="Helvetica"/>
        </w:rPr>
        <w:t xml:space="preserve"> audit. </w:t>
      </w:r>
      <w:r w:rsidR="005338F5">
        <w:rPr>
          <w:rFonts w:cs="Helvetica"/>
        </w:rPr>
        <w:t xml:space="preserve">As the majority of employers had dealt directly with </w:t>
      </w:r>
      <w:r w:rsidR="00737CD4">
        <w:rPr>
          <w:rFonts w:cs="Helvetica"/>
        </w:rPr>
        <w:t xml:space="preserve">the </w:t>
      </w:r>
      <w:r w:rsidR="005338F5">
        <w:rPr>
          <w:rFonts w:cs="Helvetica"/>
        </w:rPr>
        <w:t xml:space="preserve">FWO </w:t>
      </w:r>
      <w:r w:rsidR="00234C0E">
        <w:rPr>
          <w:rFonts w:cs="Helvetica"/>
        </w:rPr>
        <w:t xml:space="preserve">in </w:t>
      </w:r>
      <w:r w:rsidR="00D346C9">
        <w:rPr>
          <w:rFonts w:cs="Helvetica"/>
        </w:rPr>
        <w:t xml:space="preserve">the </w:t>
      </w:r>
      <w:r w:rsidR="00234C0E">
        <w:rPr>
          <w:rFonts w:cs="Helvetica"/>
        </w:rPr>
        <w:t>previous audit of their business</w:t>
      </w:r>
      <w:r w:rsidR="005338F5">
        <w:rPr>
          <w:rFonts w:cs="Helvetica"/>
        </w:rPr>
        <w:t xml:space="preserve">, they were familiar with the audit process. </w:t>
      </w:r>
    </w:p>
    <w:p w14:paraId="393B1C8F" w14:textId="77777777" w:rsidR="00D346C9" w:rsidRDefault="005338F5" w:rsidP="00737CD4">
      <w:pPr>
        <w:rPr>
          <w:rFonts w:cs="Helvetica"/>
        </w:rPr>
      </w:pPr>
      <w:r>
        <w:rPr>
          <w:rFonts w:cs="Helvetica"/>
        </w:rPr>
        <w:t xml:space="preserve">Fair Work Inspectors </w:t>
      </w:r>
      <w:r w:rsidR="000F5674" w:rsidRPr="001E6ED3">
        <w:rPr>
          <w:rFonts w:cs="Helvetica"/>
        </w:rPr>
        <w:t xml:space="preserve">assessed records </w:t>
      </w:r>
      <w:r w:rsidR="000A3E52">
        <w:rPr>
          <w:rFonts w:cs="Helvetica"/>
        </w:rPr>
        <w:t>for</w:t>
      </w:r>
      <w:r w:rsidR="000F5674" w:rsidRPr="001E6ED3">
        <w:rPr>
          <w:rFonts w:cs="Helvetica"/>
        </w:rPr>
        <w:t xml:space="preserve"> compliance with the </w:t>
      </w:r>
      <w:r w:rsidR="000F5674" w:rsidRPr="001E6ED3">
        <w:rPr>
          <w:rFonts w:cs="Helvetica"/>
          <w:i/>
        </w:rPr>
        <w:t>Fair Work Act 2009</w:t>
      </w:r>
      <w:r w:rsidR="000F5674" w:rsidRPr="001E6ED3">
        <w:rPr>
          <w:rFonts w:cs="Helvetica"/>
        </w:rPr>
        <w:t xml:space="preserve"> (the Act), the </w:t>
      </w:r>
      <w:r w:rsidR="000F5674" w:rsidRPr="001E6ED3">
        <w:rPr>
          <w:rFonts w:cs="Helvetica"/>
          <w:i/>
        </w:rPr>
        <w:t>Fair Work Regulations 2009</w:t>
      </w:r>
      <w:r w:rsidR="000F5674" w:rsidRPr="001E6ED3">
        <w:rPr>
          <w:rFonts w:cs="Helvetica"/>
        </w:rPr>
        <w:t xml:space="preserve"> (the Regulations) and the applicable award or agreement.</w:t>
      </w:r>
      <w:r w:rsidR="00E63F23">
        <w:rPr>
          <w:rFonts w:cs="Helvetica"/>
        </w:rPr>
        <w:t xml:space="preserve"> </w:t>
      </w:r>
    </w:p>
    <w:p w14:paraId="2E692837" w14:textId="3FCA0348" w:rsidR="00D346C9" w:rsidRDefault="007B75FC" w:rsidP="00737CD4">
      <w:pPr>
        <w:rPr>
          <w:rFonts w:cs="Helvetica"/>
        </w:rPr>
      </w:pPr>
      <w:r w:rsidRPr="007B75FC">
        <w:rPr>
          <w:rFonts w:cs="Helvetica"/>
        </w:rPr>
        <w:t xml:space="preserve">Where </w:t>
      </w:r>
      <w:r w:rsidR="00B70757">
        <w:rPr>
          <w:rFonts w:cs="Helvetica"/>
        </w:rPr>
        <w:t xml:space="preserve">Inspectors identified </w:t>
      </w:r>
      <w:r w:rsidR="00741B29" w:rsidRPr="007B75FC">
        <w:rPr>
          <w:rFonts w:cs="Helvetica"/>
        </w:rPr>
        <w:t xml:space="preserve">breaches </w:t>
      </w:r>
      <w:r w:rsidR="00FD47B2">
        <w:rPr>
          <w:rFonts w:cs="Helvetica"/>
        </w:rPr>
        <w:t>of</w:t>
      </w:r>
      <w:r w:rsidR="00741B29" w:rsidRPr="007B75FC">
        <w:rPr>
          <w:rFonts w:cs="Helvetica"/>
        </w:rPr>
        <w:t xml:space="preserve"> workplace laws</w:t>
      </w:r>
      <w:r>
        <w:rPr>
          <w:rFonts w:cs="Helvetica"/>
        </w:rPr>
        <w:t>,</w:t>
      </w:r>
      <w:r w:rsidR="00741B29" w:rsidRPr="007B75FC">
        <w:rPr>
          <w:rFonts w:cs="Helvetica"/>
        </w:rPr>
        <w:t xml:space="preserve"> </w:t>
      </w:r>
      <w:r w:rsidR="00B70757">
        <w:rPr>
          <w:rFonts w:cs="Helvetica"/>
        </w:rPr>
        <w:t>they</w:t>
      </w:r>
      <w:r w:rsidR="00741B29" w:rsidRPr="007B75FC">
        <w:rPr>
          <w:rFonts w:cs="Helvetica"/>
        </w:rPr>
        <w:t xml:space="preserve"> explored the reasons for continu</w:t>
      </w:r>
      <w:r w:rsidR="00FD47B2">
        <w:rPr>
          <w:rFonts w:cs="Helvetica"/>
        </w:rPr>
        <w:t>ing</w:t>
      </w:r>
      <w:r w:rsidR="00741B29" w:rsidRPr="007B75FC">
        <w:rPr>
          <w:rFonts w:cs="Helvetica"/>
        </w:rPr>
        <w:t xml:space="preserve"> non-compliance</w:t>
      </w:r>
      <w:r w:rsidR="00D346C9">
        <w:rPr>
          <w:rFonts w:cs="Helvetica"/>
        </w:rPr>
        <w:t xml:space="preserve"> by reviewing </w:t>
      </w:r>
      <w:r w:rsidR="005338F5">
        <w:rPr>
          <w:rFonts w:cs="Helvetica"/>
        </w:rPr>
        <w:t xml:space="preserve">the </w:t>
      </w:r>
      <w:r w:rsidRPr="004F7FC6">
        <w:rPr>
          <w:rFonts w:cs="Helvetica"/>
        </w:rPr>
        <w:t xml:space="preserve">nature of the </w:t>
      </w:r>
      <w:r w:rsidR="005338F5">
        <w:rPr>
          <w:rFonts w:cs="Helvetica"/>
        </w:rPr>
        <w:t xml:space="preserve">non-compliance </w:t>
      </w:r>
      <w:r w:rsidRPr="004F7FC6">
        <w:rPr>
          <w:rFonts w:cs="Helvetica"/>
        </w:rPr>
        <w:t>i</w:t>
      </w:r>
      <w:r w:rsidR="005338F5">
        <w:rPr>
          <w:rFonts w:cs="Helvetica"/>
        </w:rPr>
        <w:t xml:space="preserve">dentified in the previous </w:t>
      </w:r>
      <w:r w:rsidR="00B70757">
        <w:rPr>
          <w:rFonts w:cs="Helvetica"/>
        </w:rPr>
        <w:t>audit</w:t>
      </w:r>
      <w:r w:rsidR="00D346C9">
        <w:rPr>
          <w:rFonts w:cs="Helvetica"/>
        </w:rPr>
        <w:t xml:space="preserve"> (</w:t>
      </w:r>
      <w:r w:rsidR="00087C97">
        <w:rPr>
          <w:rFonts w:cs="Helvetica"/>
        </w:rPr>
        <w:t>e.g., whether</w:t>
      </w:r>
      <w:r w:rsidR="00D346C9">
        <w:rPr>
          <w:rFonts w:cs="Helvetica"/>
        </w:rPr>
        <w:t xml:space="preserve"> the breaches</w:t>
      </w:r>
      <w:r w:rsidR="00087C97">
        <w:rPr>
          <w:rFonts w:cs="Helvetica"/>
        </w:rPr>
        <w:t xml:space="preserve"> were</w:t>
      </w:r>
      <w:r w:rsidR="00D346C9">
        <w:rPr>
          <w:rFonts w:cs="Helvetica"/>
        </w:rPr>
        <w:t xml:space="preserve"> </w:t>
      </w:r>
      <w:r w:rsidR="00E778BB">
        <w:rPr>
          <w:rFonts w:cs="Helvetica"/>
        </w:rPr>
        <w:t>of the same type</w:t>
      </w:r>
      <w:r w:rsidR="00D346C9">
        <w:rPr>
          <w:rFonts w:cs="Helvetica"/>
        </w:rPr>
        <w:t>).</w:t>
      </w:r>
      <w:r w:rsidR="00E778BB">
        <w:rPr>
          <w:rFonts w:cs="Helvetica"/>
        </w:rPr>
        <w:t xml:space="preserve"> </w:t>
      </w:r>
      <w:r w:rsidR="00D346C9">
        <w:rPr>
          <w:rFonts w:cs="Helvetica"/>
        </w:rPr>
        <w:t xml:space="preserve">Inspectors also </w:t>
      </w:r>
      <w:r w:rsidR="00733042">
        <w:rPr>
          <w:rFonts w:cs="Helvetica"/>
        </w:rPr>
        <w:t>gained insight into</w:t>
      </w:r>
      <w:r w:rsidR="00D346C9">
        <w:rPr>
          <w:rFonts w:cs="Helvetica"/>
        </w:rPr>
        <w:t xml:space="preserve"> whether </w:t>
      </w:r>
      <w:r w:rsidR="00733042">
        <w:rPr>
          <w:rFonts w:cs="Helvetica"/>
        </w:rPr>
        <w:t xml:space="preserve">an </w:t>
      </w:r>
      <w:r w:rsidR="00C6024E">
        <w:rPr>
          <w:rFonts w:cs="Helvetica"/>
        </w:rPr>
        <w:t xml:space="preserve">employer had made an </w:t>
      </w:r>
      <w:r w:rsidR="00C6024E">
        <w:rPr>
          <w:rFonts w:cs="Helvetica"/>
        </w:rPr>
        <w:lastRenderedPageBreak/>
        <w:t>effort to comply</w:t>
      </w:r>
      <w:r w:rsidR="00CE3310">
        <w:rPr>
          <w:rFonts w:cs="Helvetica"/>
        </w:rPr>
        <w:t xml:space="preserve"> </w:t>
      </w:r>
      <w:r w:rsidR="00D346C9">
        <w:rPr>
          <w:rFonts w:cs="Helvetica"/>
        </w:rPr>
        <w:t>but required further assistance or indeed, the extent of the non-compliance had worsened through either carelessness or intent.</w:t>
      </w:r>
    </w:p>
    <w:p w14:paraId="107DF850" w14:textId="5A043CCD" w:rsidR="00256022" w:rsidRPr="001E6ED3" w:rsidRDefault="00B031F7" w:rsidP="00396B4E">
      <w:pPr>
        <w:pStyle w:val="Heading1"/>
      </w:pPr>
      <w:bookmarkStart w:id="39" w:name="_Toc526855134"/>
      <w:bookmarkStart w:id="40" w:name="_Toc527447236"/>
      <w:bookmarkStart w:id="41" w:name="_Toc528058397"/>
      <w:bookmarkStart w:id="42" w:name="_Toc528060223"/>
      <w:bookmarkStart w:id="43" w:name="_Toc529352620"/>
      <w:bookmarkEnd w:id="37"/>
      <w:bookmarkEnd w:id="38"/>
      <w:r>
        <w:t>Res</w:t>
      </w:r>
      <w:r w:rsidR="006F6476">
        <w:t>ults</w:t>
      </w:r>
      <w:bookmarkEnd w:id="39"/>
      <w:bookmarkEnd w:id="40"/>
      <w:bookmarkEnd w:id="41"/>
      <w:bookmarkEnd w:id="42"/>
      <w:bookmarkEnd w:id="43"/>
      <w:r w:rsidR="006F6476">
        <w:t xml:space="preserve"> </w:t>
      </w:r>
    </w:p>
    <w:p w14:paraId="4BABD354" w14:textId="77777777" w:rsidR="00256022" w:rsidRDefault="00256022" w:rsidP="00256022">
      <w:pPr>
        <w:rPr>
          <w:rFonts w:ascii="Helvetica" w:hAnsi="Helvetica" w:cs="Helvetica"/>
        </w:rPr>
      </w:pPr>
      <w:r w:rsidRPr="001E6ED3">
        <w:rPr>
          <w:rFonts w:cs="Helvetica"/>
        </w:rPr>
        <w:t xml:space="preserve">Of the 479 </w:t>
      </w:r>
      <w:r w:rsidR="008D0B40">
        <w:rPr>
          <w:rFonts w:cs="Helvetica"/>
        </w:rPr>
        <w:t>employers</w:t>
      </w:r>
      <w:r w:rsidR="008D0B40" w:rsidRPr="001E6ED3">
        <w:rPr>
          <w:rFonts w:cs="Helvetica"/>
        </w:rPr>
        <w:t xml:space="preserve"> </w:t>
      </w:r>
      <w:r w:rsidRPr="001E6ED3">
        <w:rPr>
          <w:rFonts w:cs="Helvetica"/>
        </w:rPr>
        <w:t>audited</w:t>
      </w:r>
      <w:r w:rsidR="008D0B40">
        <w:rPr>
          <w:rFonts w:cs="Helvetica"/>
        </w:rPr>
        <w:t xml:space="preserve"> in the Campaign,</w:t>
      </w:r>
      <w:r w:rsidR="00F14633">
        <w:rPr>
          <w:rFonts w:cs="Helvetica"/>
        </w:rPr>
        <w:t xml:space="preserve"> Fair Work Inspectors found</w:t>
      </w:r>
      <w:r w:rsidRPr="001E6ED3">
        <w:rPr>
          <w:rFonts w:ascii="Helvetica" w:hAnsi="Helvetica" w:cs="Helvetica"/>
        </w:rPr>
        <w:t>:</w:t>
      </w:r>
    </w:p>
    <w:p w14:paraId="19D7152F" w14:textId="77777777" w:rsidR="00F14633" w:rsidRPr="008E573F" w:rsidRDefault="00F14633" w:rsidP="002351BB">
      <w:pPr>
        <w:pStyle w:val="Bullet"/>
      </w:pPr>
      <w:r w:rsidRPr="008E573F">
        <w:t>29</w:t>
      </w:r>
      <w:r w:rsidR="00CE6798" w:rsidRPr="005F0C2A">
        <w:t>5</w:t>
      </w:r>
      <w:r w:rsidRPr="008E573F">
        <w:t xml:space="preserve"> (62%) were compliant with all requirements</w:t>
      </w:r>
    </w:p>
    <w:p w14:paraId="6B54737B" w14:textId="77777777" w:rsidR="00F14633" w:rsidRPr="008E573F" w:rsidRDefault="00F14633" w:rsidP="002351BB">
      <w:pPr>
        <w:pStyle w:val="Bullet"/>
      </w:pPr>
      <w:r w:rsidRPr="008E573F">
        <w:t>36</w:t>
      </w:r>
      <w:r w:rsidR="00CE6798" w:rsidRPr="005F0C2A">
        <w:t>3</w:t>
      </w:r>
      <w:r w:rsidRPr="008E573F">
        <w:t xml:space="preserve"> (</w:t>
      </w:r>
      <w:r w:rsidR="00CE6798" w:rsidRPr="005F0C2A">
        <w:t>76</w:t>
      </w:r>
      <w:r w:rsidRPr="008E573F">
        <w:t>%) were compliant with their monetary obligations</w:t>
      </w:r>
    </w:p>
    <w:p w14:paraId="21DF137F" w14:textId="77777777" w:rsidR="00C64294" w:rsidRDefault="00C64294" w:rsidP="002351BB">
      <w:pPr>
        <w:pStyle w:val="Bullet"/>
      </w:pPr>
      <w:r w:rsidRPr="008E573F">
        <w:t>3</w:t>
      </w:r>
      <w:r w:rsidR="00CE6798" w:rsidRPr="005F0C2A">
        <w:t>79</w:t>
      </w:r>
      <w:r w:rsidRPr="008E573F">
        <w:t xml:space="preserve"> (79%) were compliant with all pay slip and record-keeping requirements</w:t>
      </w:r>
      <w:r w:rsidR="005F0C2A">
        <w:t>.</w:t>
      </w:r>
    </w:p>
    <w:p w14:paraId="05FBB280" w14:textId="77777777" w:rsidR="00256022" w:rsidRPr="00B04958" w:rsidRDefault="000E36D6" w:rsidP="00832C2D">
      <w:pPr>
        <w:spacing w:before="120"/>
      </w:pPr>
      <w:r w:rsidRPr="00B04958">
        <w:t xml:space="preserve">The FWO identified that </w:t>
      </w:r>
      <w:r w:rsidR="00256022" w:rsidRPr="00B04958">
        <w:t>18</w:t>
      </w:r>
      <w:r w:rsidR="008E573F" w:rsidRPr="00B04958">
        <w:t>4</w:t>
      </w:r>
      <w:r w:rsidR="00256022" w:rsidRPr="00B04958">
        <w:t xml:space="preserve"> (38%) </w:t>
      </w:r>
      <w:r w:rsidR="00995F9F" w:rsidRPr="00B04958">
        <w:t>employer</w:t>
      </w:r>
      <w:r w:rsidR="00C13920" w:rsidRPr="00B04958">
        <w:t>s</w:t>
      </w:r>
      <w:r w:rsidR="00995F9F" w:rsidRPr="00B04958">
        <w:t xml:space="preserve"> </w:t>
      </w:r>
      <w:r w:rsidR="00C13920" w:rsidRPr="00B04958">
        <w:t>were in breach of their obligations</w:t>
      </w:r>
      <w:r w:rsidRPr="00B04958">
        <w:t>. Of these:</w:t>
      </w:r>
    </w:p>
    <w:p w14:paraId="23FB974B" w14:textId="0BBF3A98" w:rsidR="00256022" w:rsidRPr="00E56DFF" w:rsidRDefault="008E573F" w:rsidP="002351BB">
      <w:pPr>
        <w:pStyle w:val="Bullet"/>
      </w:pPr>
      <w:r w:rsidRPr="00DC7463">
        <w:t>84</w:t>
      </w:r>
      <w:r w:rsidRPr="00645EF4">
        <w:t xml:space="preserve"> </w:t>
      </w:r>
      <w:r w:rsidR="00256022" w:rsidRPr="00645EF4">
        <w:t>(17.5%)</w:t>
      </w:r>
      <w:r w:rsidR="00563089" w:rsidRPr="00645EF4">
        <w:t xml:space="preserve"> were in breach of their </w:t>
      </w:r>
      <w:r w:rsidR="005F0C2A" w:rsidRPr="00645EF4">
        <w:t>monetary</w:t>
      </w:r>
      <w:r w:rsidR="00563089" w:rsidRPr="00420B7A">
        <w:t xml:space="preserve"> obligations, but were compliant with pay slip and record-keeping</w:t>
      </w:r>
      <w:r w:rsidR="005F0C2A" w:rsidRPr="00E56DFF">
        <w:t xml:space="preserve"> </w:t>
      </w:r>
      <w:r w:rsidR="00563089" w:rsidRPr="00E56DFF">
        <w:t>requirements</w:t>
      </w:r>
      <w:r w:rsidR="00563089" w:rsidRPr="00E56DFF">
        <w:rPr>
          <w:strike/>
        </w:rPr>
        <w:t xml:space="preserve"> </w:t>
      </w:r>
    </w:p>
    <w:p w14:paraId="05E7D3F8" w14:textId="741AF670" w:rsidR="00256022" w:rsidRPr="00420B7A" w:rsidRDefault="008E573F" w:rsidP="002351BB">
      <w:pPr>
        <w:pStyle w:val="Bullet"/>
      </w:pPr>
      <w:r w:rsidRPr="00E56DFF">
        <w:t xml:space="preserve">68 </w:t>
      </w:r>
      <w:r w:rsidR="00256022" w:rsidRPr="00E56DFF">
        <w:t xml:space="preserve">(14%) </w:t>
      </w:r>
      <w:r w:rsidR="00563089" w:rsidRPr="00E56DFF">
        <w:t xml:space="preserve">were in breach of their </w:t>
      </w:r>
      <w:r w:rsidR="00256022" w:rsidRPr="00A12966">
        <w:t xml:space="preserve">pay slip and record-keeping </w:t>
      </w:r>
      <w:r w:rsidR="00563089" w:rsidRPr="00A12966">
        <w:t>obligation</w:t>
      </w:r>
      <w:r w:rsidR="003C21B0" w:rsidRPr="00A12966">
        <w:t>s</w:t>
      </w:r>
      <w:r w:rsidR="004213FF">
        <w:t>, but were compliant with their monetary obligations</w:t>
      </w:r>
    </w:p>
    <w:p w14:paraId="29BB7BA8" w14:textId="77777777" w:rsidR="00256022" w:rsidRDefault="00256022" w:rsidP="002351BB">
      <w:pPr>
        <w:pStyle w:val="Bullet"/>
      </w:pPr>
      <w:r w:rsidRPr="00DC7463">
        <w:t>32</w:t>
      </w:r>
      <w:r w:rsidRPr="00645EF4">
        <w:t xml:space="preserve"> (6.5%) </w:t>
      </w:r>
      <w:r w:rsidR="00C13920" w:rsidRPr="00645EF4">
        <w:t>were in</w:t>
      </w:r>
      <w:r w:rsidR="00C13920">
        <w:t xml:space="preserve"> breach of both</w:t>
      </w:r>
      <w:r w:rsidRPr="005F0C2A">
        <w:t xml:space="preserve"> </w:t>
      </w:r>
      <w:r w:rsidR="00C13920">
        <w:t>their monetary and non-monetary obligations</w:t>
      </w:r>
      <w:r w:rsidR="005F0C2A">
        <w:t>.</w:t>
      </w:r>
      <w:r w:rsidR="00C13920">
        <w:t xml:space="preserve"> </w:t>
      </w:r>
      <w:r w:rsidRPr="005F0C2A">
        <w:t xml:space="preserve"> </w:t>
      </w:r>
    </w:p>
    <w:p w14:paraId="1883961A" w14:textId="77777777" w:rsidR="000E36D6" w:rsidRDefault="000E36D6" w:rsidP="00832C2D">
      <w:pPr>
        <w:spacing w:before="120"/>
        <w:textAlignment w:val="center"/>
      </w:pPr>
      <w:r>
        <w:t xml:space="preserve">The most common </w:t>
      </w:r>
      <w:r w:rsidR="008E573F">
        <w:t xml:space="preserve">areas of non-compliance </w:t>
      </w:r>
      <w:r w:rsidR="00995F9F">
        <w:t xml:space="preserve">identified by Fair Work Inspectors </w:t>
      </w:r>
      <w:r>
        <w:t>were:</w:t>
      </w:r>
    </w:p>
    <w:p w14:paraId="0B223485" w14:textId="77777777" w:rsidR="000E36D6" w:rsidRPr="007A0BB8" w:rsidRDefault="008E573F" w:rsidP="002351BB">
      <w:pPr>
        <w:pStyle w:val="Bullet"/>
      </w:pPr>
      <w:r w:rsidRPr="005F0C2A">
        <w:t>failure to provide p</w:t>
      </w:r>
      <w:r w:rsidR="000E36D6" w:rsidRPr="007A0BB8">
        <w:t>ay</w:t>
      </w:r>
      <w:r w:rsidRPr="005F0C2A">
        <w:t xml:space="preserve"> </w:t>
      </w:r>
      <w:r w:rsidR="000E36D6" w:rsidRPr="007A0BB8">
        <w:t>slips</w:t>
      </w:r>
      <w:r w:rsidRPr="005F0C2A">
        <w:t xml:space="preserve"> in the required form (33% of all breaches) </w:t>
      </w:r>
    </w:p>
    <w:p w14:paraId="3A459A53" w14:textId="77777777" w:rsidR="008E573F" w:rsidRPr="005F0C2A" w:rsidRDefault="008E573F" w:rsidP="002351BB">
      <w:pPr>
        <w:pStyle w:val="Bullet"/>
      </w:pPr>
      <w:proofErr w:type="gramStart"/>
      <w:r w:rsidRPr="005F0C2A">
        <w:t>underpayment</w:t>
      </w:r>
      <w:proofErr w:type="gramEnd"/>
      <w:r w:rsidRPr="005F0C2A">
        <w:t xml:space="preserve"> of the hourly rate (32%)</w:t>
      </w:r>
    </w:p>
    <w:p w14:paraId="1B3E2AFC" w14:textId="77777777" w:rsidR="00884A95" w:rsidRDefault="00092DCF" w:rsidP="002351BB">
      <w:pPr>
        <w:pStyle w:val="Bullet"/>
      </w:pPr>
      <w:proofErr w:type="gramStart"/>
      <w:r>
        <w:t>p</w:t>
      </w:r>
      <w:r w:rsidR="000E36D6" w:rsidRPr="007A0BB8">
        <w:t>enalty</w:t>
      </w:r>
      <w:proofErr w:type="gramEnd"/>
      <w:r w:rsidR="000E36D6" w:rsidRPr="007A0BB8">
        <w:t xml:space="preserve"> rates</w:t>
      </w:r>
      <w:r w:rsidR="008E573F" w:rsidRPr="005F0C2A">
        <w:t xml:space="preserve"> (1</w:t>
      </w:r>
      <w:r w:rsidR="00146C6D">
        <w:t>4</w:t>
      </w:r>
      <w:r w:rsidR="008E573F" w:rsidRPr="005F0C2A">
        <w:t>%)</w:t>
      </w:r>
      <w:r w:rsidR="005F0C2A">
        <w:t>.</w:t>
      </w:r>
    </w:p>
    <w:p w14:paraId="1C0E4820" w14:textId="46A033A1" w:rsidR="00B55FD3" w:rsidRDefault="008D0B40" w:rsidP="00F05EFE">
      <w:r w:rsidRPr="00832C2D">
        <w:t xml:space="preserve">A total of </w:t>
      </w:r>
      <w:r w:rsidR="00CE3BA4" w:rsidRPr="00CE3BA4">
        <w:t>$3 813 458</w:t>
      </w:r>
      <w:r w:rsidR="00CE3BA4">
        <w:t xml:space="preserve"> </w:t>
      </w:r>
      <w:r w:rsidR="000E36D6" w:rsidRPr="00832C2D">
        <w:t>was recovered</w:t>
      </w:r>
      <w:r w:rsidRPr="00832C2D">
        <w:t xml:space="preserve"> </w:t>
      </w:r>
      <w:r w:rsidR="000E36D6" w:rsidRPr="00832C2D">
        <w:t xml:space="preserve">for </w:t>
      </w:r>
      <w:r w:rsidR="000A1C34" w:rsidRPr="00832C2D">
        <w:t>63</w:t>
      </w:r>
      <w:r w:rsidR="000A1C34">
        <w:t>23</w:t>
      </w:r>
      <w:r w:rsidR="000A1C34" w:rsidRPr="00832C2D">
        <w:t xml:space="preserve"> </w:t>
      </w:r>
      <w:r w:rsidR="000E36D6" w:rsidRPr="00832C2D">
        <w:t>employees</w:t>
      </w:r>
      <w:r w:rsidRPr="00832C2D">
        <w:t>.</w:t>
      </w:r>
      <w:r w:rsidR="00C320C1">
        <w:t xml:space="preserve"> </w:t>
      </w:r>
      <w:r w:rsidR="006F07AE">
        <w:t xml:space="preserve">This significant </w:t>
      </w:r>
      <w:r w:rsidR="002B6DBC" w:rsidRPr="006F07AE">
        <w:t xml:space="preserve">recovery </w:t>
      </w:r>
      <w:r w:rsidR="006F07AE">
        <w:t xml:space="preserve">included outstanding entitlements </w:t>
      </w:r>
      <w:r w:rsidR="005857CD">
        <w:t xml:space="preserve">amounting to </w:t>
      </w:r>
      <w:r w:rsidR="006F07AE" w:rsidRPr="006F07AE">
        <w:t xml:space="preserve">$3 569 212 </w:t>
      </w:r>
      <w:r w:rsidR="005857CD">
        <w:t>back-paid by Chemist Warehouse franchisees</w:t>
      </w:r>
      <w:r w:rsidR="005857CD" w:rsidRPr="006F07AE">
        <w:t xml:space="preserve"> </w:t>
      </w:r>
      <w:r w:rsidR="005857CD">
        <w:t xml:space="preserve">to </w:t>
      </w:r>
      <w:r w:rsidR="006F07AE" w:rsidRPr="006F07AE">
        <w:t xml:space="preserve">5976 </w:t>
      </w:r>
      <w:r w:rsidR="005857CD">
        <w:t>staff</w:t>
      </w:r>
      <w:r w:rsidR="00135385">
        <w:t>.</w:t>
      </w:r>
      <w:r w:rsidR="00690262">
        <w:rPr>
          <w:rStyle w:val="FootnoteReference"/>
        </w:rPr>
        <w:footnoteReference w:id="6"/>
      </w:r>
      <w:r w:rsidR="008A26A8" w:rsidDel="008A26A8">
        <w:t xml:space="preserve"> </w:t>
      </w:r>
      <w:r w:rsidR="00FA2D7A">
        <w:t>The FWO found that 70%</w:t>
      </w:r>
      <w:r w:rsidR="00396B4E">
        <w:t xml:space="preserve"> percent </w:t>
      </w:r>
      <w:r w:rsidR="00292308">
        <w:rPr>
          <w:rFonts w:cs="Helvetica"/>
        </w:rPr>
        <w:t xml:space="preserve">of </w:t>
      </w:r>
      <w:r w:rsidR="00B55FD3">
        <w:rPr>
          <w:rFonts w:cs="Helvetica"/>
        </w:rPr>
        <w:t>larger businesses</w:t>
      </w:r>
      <w:r w:rsidR="00292308">
        <w:rPr>
          <w:rFonts w:cs="Helvetica"/>
        </w:rPr>
        <w:t xml:space="preserve"> (with 15 or more employees)</w:t>
      </w:r>
      <w:r w:rsidR="000904AE">
        <w:rPr>
          <w:rFonts w:cs="Helvetica"/>
        </w:rPr>
        <w:t xml:space="preserve"> </w:t>
      </w:r>
      <w:r w:rsidR="00396B4E">
        <w:rPr>
          <w:rFonts w:cs="Helvetica"/>
        </w:rPr>
        <w:t xml:space="preserve">were </w:t>
      </w:r>
      <w:r w:rsidR="000904AE">
        <w:rPr>
          <w:rFonts w:cs="Helvetica"/>
        </w:rPr>
        <w:t>complian</w:t>
      </w:r>
      <w:r w:rsidR="00396B4E">
        <w:rPr>
          <w:rFonts w:cs="Helvetica"/>
        </w:rPr>
        <w:t>t</w:t>
      </w:r>
      <w:r w:rsidR="00D745F3">
        <w:rPr>
          <w:rFonts w:cs="Helvetica"/>
        </w:rPr>
        <w:t>. The compliance</w:t>
      </w:r>
      <w:r w:rsidR="000904AE">
        <w:rPr>
          <w:rFonts w:cs="Helvetica"/>
        </w:rPr>
        <w:t xml:space="preserve"> rate for</w:t>
      </w:r>
      <w:r w:rsidR="00292308">
        <w:rPr>
          <w:rFonts w:cs="Helvetica"/>
        </w:rPr>
        <w:t xml:space="preserve"> smaller businesses</w:t>
      </w:r>
      <w:r w:rsidR="00D745F3">
        <w:rPr>
          <w:rFonts w:cs="Helvetica"/>
        </w:rPr>
        <w:t xml:space="preserve"> was lower</w:t>
      </w:r>
      <w:r w:rsidR="00292308">
        <w:rPr>
          <w:rFonts w:cs="Helvetica"/>
        </w:rPr>
        <w:t xml:space="preserve"> </w:t>
      </w:r>
      <w:r w:rsidR="000904AE">
        <w:rPr>
          <w:rFonts w:cs="Helvetica"/>
        </w:rPr>
        <w:t>(</w:t>
      </w:r>
      <w:r w:rsidR="00292308">
        <w:rPr>
          <w:rFonts w:cs="Helvetica"/>
        </w:rPr>
        <w:t>62%</w:t>
      </w:r>
      <w:r w:rsidR="000904AE">
        <w:rPr>
          <w:rFonts w:cs="Helvetica"/>
        </w:rPr>
        <w:t>).</w:t>
      </w:r>
      <w:r w:rsidR="00B55FD3">
        <w:rPr>
          <w:rFonts w:cs="Helvetica"/>
        </w:rPr>
        <w:t xml:space="preserve"> </w:t>
      </w:r>
      <w:r w:rsidR="00D745F3">
        <w:rPr>
          <w:rFonts w:cs="Helvetica"/>
        </w:rPr>
        <w:t>While t</w:t>
      </w:r>
      <w:r w:rsidR="003801F7">
        <w:rPr>
          <w:rFonts w:cs="Helvetica"/>
        </w:rPr>
        <w:t>he FWO a</w:t>
      </w:r>
      <w:r w:rsidR="00D745F3">
        <w:rPr>
          <w:rFonts w:cs="Helvetica"/>
        </w:rPr>
        <w:t>cknowledge</w:t>
      </w:r>
      <w:r w:rsidR="003801F7">
        <w:rPr>
          <w:rFonts w:cs="Helvetica"/>
        </w:rPr>
        <w:t>s small business</w:t>
      </w:r>
      <w:r w:rsidR="000F6065">
        <w:rPr>
          <w:rFonts w:cs="Helvetica"/>
        </w:rPr>
        <w:t xml:space="preserve"> employers </w:t>
      </w:r>
      <w:r w:rsidR="003801F7">
        <w:rPr>
          <w:rFonts w:cs="Helvetica"/>
        </w:rPr>
        <w:t xml:space="preserve">frequently lack </w:t>
      </w:r>
      <w:r w:rsidR="00B55FD3">
        <w:rPr>
          <w:rFonts w:cs="Helvetica"/>
        </w:rPr>
        <w:t xml:space="preserve">access </w:t>
      </w:r>
      <w:r w:rsidR="003801F7">
        <w:rPr>
          <w:rFonts w:cs="Helvetica"/>
        </w:rPr>
        <w:t>to</w:t>
      </w:r>
      <w:r w:rsidR="004009A8">
        <w:rPr>
          <w:rFonts w:cs="Helvetica"/>
        </w:rPr>
        <w:t xml:space="preserve"> dedicated</w:t>
      </w:r>
      <w:r w:rsidR="003801F7">
        <w:rPr>
          <w:rFonts w:cs="Helvetica"/>
        </w:rPr>
        <w:t xml:space="preserve"> </w:t>
      </w:r>
      <w:r w:rsidR="00B55FD3">
        <w:rPr>
          <w:rFonts w:cs="Helvetica"/>
        </w:rPr>
        <w:t>human resource</w:t>
      </w:r>
      <w:r w:rsidR="00396B4E">
        <w:rPr>
          <w:rFonts w:cs="Helvetica"/>
        </w:rPr>
        <w:t>s</w:t>
      </w:r>
      <w:r w:rsidR="00B55FD3">
        <w:rPr>
          <w:rFonts w:cs="Helvetica"/>
        </w:rPr>
        <w:t xml:space="preserve"> or payroll </w:t>
      </w:r>
      <w:r w:rsidR="003801F7">
        <w:rPr>
          <w:rFonts w:cs="Helvetica"/>
        </w:rPr>
        <w:t>services</w:t>
      </w:r>
      <w:r w:rsidR="00D745F3">
        <w:rPr>
          <w:rFonts w:cs="Helvetica"/>
        </w:rPr>
        <w:t xml:space="preserve">, </w:t>
      </w:r>
      <w:r w:rsidR="000904AE">
        <w:rPr>
          <w:rFonts w:cs="Helvetica"/>
        </w:rPr>
        <w:t>in addition to the</w:t>
      </w:r>
      <w:r w:rsidR="000904AE" w:rsidRPr="000904AE">
        <w:rPr>
          <w:rFonts w:cs="Helvetica"/>
        </w:rPr>
        <w:t xml:space="preserve"> </w:t>
      </w:r>
      <w:r w:rsidR="000904AE">
        <w:rPr>
          <w:rFonts w:cs="Helvetica"/>
        </w:rPr>
        <w:t xml:space="preserve">advice and </w:t>
      </w:r>
      <w:r w:rsidR="00B55FD3">
        <w:rPr>
          <w:rFonts w:cs="Helvetica"/>
        </w:rPr>
        <w:t>assistance</w:t>
      </w:r>
      <w:r w:rsidR="000904AE">
        <w:rPr>
          <w:rFonts w:cs="Helvetica"/>
        </w:rPr>
        <w:t xml:space="preserve"> provided</w:t>
      </w:r>
      <w:r w:rsidR="00D745F3">
        <w:rPr>
          <w:rFonts w:cs="Helvetica"/>
        </w:rPr>
        <w:t xml:space="preserve"> by the FWO</w:t>
      </w:r>
      <w:r w:rsidR="000904AE">
        <w:rPr>
          <w:rFonts w:cs="Helvetica"/>
        </w:rPr>
        <w:t xml:space="preserve"> during </w:t>
      </w:r>
      <w:r w:rsidR="007E15F1">
        <w:rPr>
          <w:rFonts w:cs="Helvetica"/>
        </w:rPr>
        <w:t xml:space="preserve">earlier </w:t>
      </w:r>
      <w:r w:rsidR="000904AE">
        <w:rPr>
          <w:rFonts w:cs="Helvetica"/>
        </w:rPr>
        <w:t>audit</w:t>
      </w:r>
      <w:r w:rsidR="007E15F1">
        <w:rPr>
          <w:rFonts w:cs="Helvetica"/>
        </w:rPr>
        <w:t>s</w:t>
      </w:r>
      <w:r w:rsidR="000904AE">
        <w:rPr>
          <w:rFonts w:cs="Helvetica"/>
        </w:rPr>
        <w:t>,</w:t>
      </w:r>
      <w:r w:rsidR="007E15F1">
        <w:rPr>
          <w:rFonts w:cs="Helvetica"/>
        </w:rPr>
        <w:t xml:space="preserve"> non-compliant small business employers also have access to </w:t>
      </w:r>
      <w:r>
        <w:rPr>
          <w:rFonts w:cs="Helvetica"/>
        </w:rPr>
        <w:t xml:space="preserve">workplace relations </w:t>
      </w:r>
      <w:r w:rsidR="000904AE">
        <w:rPr>
          <w:rFonts w:cs="Helvetica"/>
        </w:rPr>
        <w:t xml:space="preserve">resources </w:t>
      </w:r>
      <w:r w:rsidR="007E15F1">
        <w:rPr>
          <w:rFonts w:cs="Helvetica"/>
        </w:rPr>
        <w:t xml:space="preserve">the FWO </w:t>
      </w:r>
      <w:r w:rsidR="000904AE">
        <w:rPr>
          <w:rFonts w:cs="Helvetica"/>
        </w:rPr>
        <w:t>specifically tailor</w:t>
      </w:r>
      <w:r w:rsidR="007E15F1">
        <w:rPr>
          <w:rFonts w:cs="Helvetica"/>
        </w:rPr>
        <w:t>s</w:t>
      </w:r>
      <w:r w:rsidR="000904AE">
        <w:rPr>
          <w:rFonts w:cs="Helvetica"/>
        </w:rPr>
        <w:t xml:space="preserve"> </w:t>
      </w:r>
      <w:r w:rsidR="007E15F1">
        <w:rPr>
          <w:rFonts w:cs="Helvetica"/>
        </w:rPr>
        <w:t>for</w:t>
      </w:r>
      <w:r w:rsidR="00396B4E">
        <w:rPr>
          <w:rFonts w:cs="Helvetica"/>
        </w:rPr>
        <w:t xml:space="preserve"> </w:t>
      </w:r>
      <w:r>
        <w:rPr>
          <w:rFonts w:cs="Helvetica"/>
        </w:rPr>
        <w:t>their needs</w:t>
      </w:r>
      <w:r w:rsidR="00396B4E">
        <w:rPr>
          <w:rFonts w:cs="Helvetica"/>
        </w:rPr>
        <w:t>.</w:t>
      </w:r>
      <w:r w:rsidR="000904AE">
        <w:rPr>
          <w:rStyle w:val="FootnoteReference"/>
        </w:rPr>
        <w:footnoteReference w:id="7"/>
      </w:r>
      <w:r w:rsidR="000904AE">
        <w:rPr>
          <w:rFonts w:cs="Helvetica"/>
        </w:rPr>
        <w:t xml:space="preserve"> The FWO expects that given this support</w:t>
      </w:r>
      <w:r w:rsidR="004009A8">
        <w:rPr>
          <w:rFonts w:cs="Helvetica"/>
        </w:rPr>
        <w:t xml:space="preserve"> and previous interactions</w:t>
      </w:r>
      <w:r w:rsidR="000904AE">
        <w:rPr>
          <w:rFonts w:cs="Helvetica"/>
        </w:rPr>
        <w:t>, employers</w:t>
      </w:r>
      <w:r w:rsidR="004C1755">
        <w:rPr>
          <w:rFonts w:cs="Helvetica"/>
        </w:rPr>
        <w:t xml:space="preserve"> irrespective of business size,</w:t>
      </w:r>
      <w:r w:rsidR="000904AE">
        <w:rPr>
          <w:rFonts w:cs="Helvetica"/>
        </w:rPr>
        <w:t xml:space="preserve"> </w:t>
      </w:r>
      <w:r w:rsidR="004009A8">
        <w:rPr>
          <w:rFonts w:cs="Helvetica"/>
        </w:rPr>
        <w:t xml:space="preserve">can </w:t>
      </w:r>
      <w:r w:rsidR="000904AE">
        <w:rPr>
          <w:rFonts w:cs="Helvetica"/>
        </w:rPr>
        <w:t>achieve sustained compliance with their workplace obligations</w:t>
      </w:r>
      <w:r w:rsidR="000904AE" w:rsidRPr="00396B4E">
        <w:rPr>
          <w:rFonts w:cs="Helvetica"/>
        </w:rPr>
        <w:t>.</w:t>
      </w:r>
    </w:p>
    <w:p w14:paraId="6AF1B988" w14:textId="77777777" w:rsidR="00995F9F" w:rsidRDefault="000E36D6" w:rsidP="00F05EFE">
      <w:pPr>
        <w:rPr>
          <w:rFonts w:cs="Helvetica"/>
        </w:rPr>
      </w:pPr>
      <w:r>
        <w:rPr>
          <w:rFonts w:cs="Helvetica"/>
        </w:rPr>
        <w:t xml:space="preserve">Fair Work Inspectors </w:t>
      </w:r>
      <w:r w:rsidR="005F489E">
        <w:rPr>
          <w:rFonts w:cs="Helvetica"/>
        </w:rPr>
        <w:t xml:space="preserve">also </w:t>
      </w:r>
      <w:r>
        <w:rPr>
          <w:rFonts w:cs="Helvetica"/>
        </w:rPr>
        <w:t>found that employer</w:t>
      </w:r>
      <w:r w:rsidR="00F977C8">
        <w:rPr>
          <w:rFonts w:cs="Helvetica"/>
        </w:rPr>
        <w:t>s</w:t>
      </w:r>
      <w:r>
        <w:rPr>
          <w:rFonts w:cs="Helvetica"/>
        </w:rPr>
        <w:t xml:space="preserve"> who </w:t>
      </w:r>
      <w:r w:rsidRPr="00CB18E6">
        <w:rPr>
          <w:rFonts w:cs="Helvetica"/>
        </w:rPr>
        <w:t xml:space="preserve">were members of an industry or employer association had a higher compliance rate (70%) than </w:t>
      </w:r>
      <w:r w:rsidR="004139E4">
        <w:rPr>
          <w:rFonts w:cs="Helvetica"/>
        </w:rPr>
        <w:t>employers who</w:t>
      </w:r>
      <w:r w:rsidRPr="00CB18E6">
        <w:rPr>
          <w:rFonts w:cs="Helvetica"/>
        </w:rPr>
        <w:t xml:space="preserve"> were not (61%)</w:t>
      </w:r>
      <w:r w:rsidR="00F977C8">
        <w:rPr>
          <w:rFonts w:cs="Helvetica"/>
        </w:rPr>
        <w:t xml:space="preserve">. </w:t>
      </w:r>
      <w:r w:rsidR="00EA7A97">
        <w:rPr>
          <w:rFonts w:cs="Helvetica"/>
        </w:rPr>
        <w:t>M</w:t>
      </w:r>
      <w:r w:rsidRPr="00CB18E6">
        <w:rPr>
          <w:rFonts w:cs="Helvetica"/>
        </w:rPr>
        <w:t xml:space="preserve">embership of an association </w:t>
      </w:r>
      <w:r w:rsidR="00CC453A">
        <w:rPr>
          <w:rFonts w:cs="Helvetica"/>
        </w:rPr>
        <w:t>has</w:t>
      </w:r>
      <w:r w:rsidR="004139E4">
        <w:rPr>
          <w:rFonts w:cs="Helvetica"/>
        </w:rPr>
        <w:t xml:space="preserve"> </w:t>
      </w:r>
      <w:r w:rsidRPr="00CB18E6">
        <w:rPr>
          <w:rFonts w:cs="Helvetica"/>
        </w:rPr>
        <w:lastRenderedPageBreak/>
        <w:t xml:space="preserve">a positive impact on </w:t>
      </w:r>
      <w:r w:rsidR="00CC453A">
        <w:rPr>
          <w:rFonts w:cs="Helvetica"/>
        </w:rPr>
        <w:t xml:space="preserve">employer </w:t>
      </w:r>
      <w:r w:rsidRPr="00CB18E6">
        <w:rPr>
          <w:rFonts w:cs="Helvetica"/>
        </w:rPr>
        <w:t xml:space="preserve">compliance due to the </w:t>
      </w:r>
      <w:r w:rsidR="00CC453A">
        <w:rPr>
          <w:rFonts w:cs="Helvetica"/>
        </w:rPr>
        <w:t xml:space="preserve">workplace relations support an association can provide its </w:t>
      </w:r>
      <w:r w:rsidRPr="00CB18E6">
        <w:rPr>
          <w:rFonts w:cs="Helvetica"/>
        </w:rPr>
        <w:t>members.</w:t>
      </w:r>
      <w:r w:rsidR="00B55FD3">
        <w:rPr>
          <w:rFonts w:cs="Helvetica"/>
        </w:rPr>
        <w:t xml:space="preserve"> </w:t>
      </w:r>
      <w:r w:rsidR="007A0BB8">
        <w:rPr>
          <w:rFonts w:cs="Helvetica"/>
        </w:rPr>
        <w:t>However, t</w:t>
      </w:r>
      <w:r w:rsidR="00EA7A97">
        <w:rPr>
          <w:rFonts w:cs="Helvetica"/>
        </w:rPr>
        <w:t>o improve on th</w:t>
      </w:r>
      <w:r w:rsidR="004D75A1">
        <w:rPr>
          <w:rFonts w:cs="Helvetica"/>
        </w:rPr>
        <w:t>ese</w:t>
      </w:r>
      <w:r w:rsidR="00EA7A97">
        <w:rPr>
          <w:rFonts w:cs="Helvetica"/>
        </w:rPr>
        <w:t xml:space="preserve"> </w:t>
      </w:r>
      <w:r w:rsidR="00CC453A">
        <w:rPr>
          <w:rFonts w:cs="Helvetica"/>
        </w:rPr>
        <w:t>results</w:t>
      </w:r>
      <w:r w:rsidR="00EA7A97">
        <w:rPr>
          <w:rFonts w:cs="Helvetica"/>
        </w:rPr>
        <w:t xml:space="preserve">, the </w:t>
      </w:r>
      <w:r w:rsidR="00B55FD3">
        <w:rPr>
          <w:rFonts w:cs="Helvetica"/>
        </w:rPr>
        <w:t xml:space="preserve">FWO will </w:t>
      </w:r>
      <w:r w:rsidR="00CC453A">
        <w:rPr>
          <w:rFonts w:cs="Helvetica"/>
        </w:rPr>
        <w:t xml:space="preserve">continue to </w:t>
      </w:r>
      <w:r w:rsidR="00146C6D">
        <w:rPr>
          <w:rFonts w:cs="Helvetica"/>
        </w:rPr>
        <w:t xml:space="preserve">engage with </w:t>
      </w:r>
      <w:r w:rsidR="009A1DD0">
        <w:rPr>
          <w:rFonts w:cs="Helvetica"/>
        </w:rPr>
        <w:t>e</w:t>
      </w:r>
      <w:r w:rsidR="00EA7A97">
        <w:rPr>
          <w:rFonts w:cs="Helvetica"/>
        </w:rPr>
        <w:t>mployer representatives</w:t>
      </w:r>
      <w:r w:rsidR="00146C6D">
        <w:rPr>
          <w:rFonts w:cs="Helvetica"/>
        </w:rPr>
        <w:t xml:space="preserve"> </w:t>
      </w:r>
      <w:r w:rsidR="00CC453A">
        <w:rPr>
          <w:rFonts w:cs="Helvetica"/>
        </w:rPr>
        <w:t>and</w:t>
      </w:r>
      <w:r w:rsidR="00EA7A97">
        <w:rPr>
          <w:rFonts w:cs="Helvetica"/>
        </w:rPr>
        <w:t xml:space="preserve"> </w:t>
      </w:r>
      <w:r w:rsidR="00CC453A">
        <w:rPr>
          <w:rFonts w:cs="Helvetica"/>
        </w:rPr>
        <w:t>wherever possible assist them in promoting sustained compliance with workplace laws throughout their membership network.</w:t>
      </w:r>
      <w:r w:rsidR="00EA7A97">
        <w:rPr>
          <w:rFonts w:cs="Helvetica"/>
        </w:rPr>
        <w:t xml:space="preserve"> </w:t>
      </w:r>
    </w:p>
    <w:p w14:paraId="5667824D" w14:textId="77777777" w:rsidR="00256022" w:rsidRPr="00011F5E" w:rsidRDefault="009F44AC" w:rsidP="00396B4E">
      <w:pPr>
        <w:pStyle w:val="Heading1"/>
      </w:pPr>
      <w:bookmarkStart w:id="44" w:name="_Toc526855135"/>
      <w:bookmarkStart w:id="45" w:name="_Toc520196394"/>
      <w:bookmarkStart w:id="46" w:name="_Toc520457108"/>
      <w:bookmarkStart w:id="47" w:name="_Toc527447237"/>
      <w:bookmarkStart w:id="48" w:name="_Toc528058398"/>
      <w:bookmarkStart w:id="49" w:name="_Toc528060224"/>
      <w:bookmarkStart w:id="50" w:name="_Toc529352621"/>
      <w:r>
        <w:t xml:space="preserve">Compliance and </w:t>
      </w:r>
      <w:r w:rsidR="00396B4E">
        <w:t>e</w:t>
      </w:r>
      <w:r w:rsidR="00256022" w:rsidRPr="00011F5E">
        <w:t>nforcement</w:t>
      </w:r>
      <w:bookmarkEnd w:id="44"/>
      <w:r w:rsidR="00256022" w:rsidRPr="00011F5E">
        <w:t xml:space="preserve"> </w:t>
      </w:r>
      <w:bookmarkEnd w:id="45"/>
      <w:bookmarkEnd w:id="46"/>
      <w:r w:rsidR="00E341D0">
        <w:t>outcomes</w:t>
      </w:r>
      <w:bookmarkEnd w:id="47"/>
      <w:bookmarkEnd w:id="48"/>
      <w:bookmarkEnd w:id="49"/>
      <w:bookmarkEnd w:id="50"/>
    </w:p>
    <w:p w14:paraId="5BFEB364" w14:textId="517E3BBD" w:rsidR="00E15359" w:rsidRDefault="00256022" w:rsidP="00F05EFE">
      <w:pPr>
        <w:rPr>
          <w:rFonts w:cs="Helvetica"/>
        </w:rPr>
      </w:pPr>
      <w:r w:rsidRPr="009C5686">
        <w:rPr>
          <w:rFonts w:cs="Helvetica"/>
        </w:rPr>
        <w:t xml:space="preserve">The FWO expects </w:t>
      </w:r>
      <w:r w:rsidR="00FA2873">
        <w:rPr>
          <w:rFonts w:cs="Helvetica"/>
        </w:rPr>
        <w:t>all employers</w:t>
      </w:r>
      <w:r w:rsidR="00FA2873" w:rsidRPr="009C5686">
        <w:rPr>
          <w:rFonts w:cs="Helvetica"/>
        </w:rPr>
        <w:t xml:space="preserve"> </w:t>
      </w:r>
      <w:r w:rsidRPr="009C5686">
        <w:rPr>
          <w:rFonts w:cs="Helvetica"/>
        </w:rPr>
        <w:t>to</w:t>
      </w:r>
      <w:r w:rsidR="00B033BB">
        <w:rPr>
          <w:rFonts w:cs="Helvetica"/>
        </w:rPr>
        <w:t xml:space="preserve"> prioritize </w:t>
      </w:r>
      <w:r w:rsidR="00FA2873">
        <w:rPr>
          <w:rFonts w:cs="Helvetica"/>
        </w:rPr>
        <w:t xml:space="preserve">and remain compliant with their </w:t>
      </w:r>
      <w:r w:rsidR="00B033BB">
        <w:rPr>
          <w:rFonts w:cs="Helvetica"/>
        </w:rPr>
        <w:t>workplace relations obligations</w:t>
      </w:r>
      <w:r w:rsidR="004B22E3">
        <w:rPr>
          <w:rFonts w:cs="Helvetica"/>
        </w:rPr>
        <w:t xml:space="preserve">. </w:t>
      </w:r>
    </w:p>
    <w:p w14:paraId="5534E0FD" w14:textId="5D0DE1AA" w:rsidR="00884A95" w:rsidRDefault="00884A95" w:rsidP="00F05EFE">
      <w:pPr>
        <w:rPr>
          <w:rFonts w:cs="Helvetica"/>
        </w:rPr>
      </w:pPr>
      <w:r>
        <w:rPr>
          <w:rFonts w:cs="Helvetica"/>
        </w:rPr>
        <w:t>Employers who are reckless or deliberate in their continued disregard of their workplace obligations can</w:t>
      </w:r>
      <w:r w:rsidRPr="001E6ED3">
        <w:rPr>
          <w:rFonts w:cs="Helvetica"/>
        </w:rPr>
        <w:t xml:space="preserve"> expect</w:t>
      </w:r>
      <w:r>
        <w:rPr>
          <w:rFonts w:cs="Helvetica"/>
        </w:rPr>
        <w:t xml:space="preserve"> the FWO to use its strongest </w:t>
      </w:r>
      <w:r w:rsidR="00C414CC">
        <w:rPr>
          <w:rFonts w:cs="Helvetica"/>
        </w:rPr>
        <w:t xml:space="preserve">compliance </w:t>
      </w:r>
      <w:r w:rsidR="005857CD">
        <w:rPr>
          <w:rFonts w:cs="Helvetica"/>
        </w:rPr>
        <w:t xml:space="preserve">and enforcement </w:t>
      </w:r>
      <w:r w:rsidR="00C414CC">
        <w:rPr>
          <w:rFonts w:cs="Helvetica"/>
        </w:rPr>
        <w:t>tools</w:t>
      </w:r>
      <w:r w:rsidR="00017C7C">
        <w:rPr>
          <w:rFonts w:cs="Helvetica"/>
        </w:rPr>
        <w:t xml:space="preserve">.  The FWO employs both specific deterrence measures such as commencing legal proceedings against employers in order to secure financial penalties as well as general deterrence measures such as publicising enforcement outcomes with </w:t>
      </w:r>
      <w:r w:rsidR="00544E3F">
        <w:rPr>
          <w:rFonts w:cs="Helvetica"/>
        </w:rPr>
        <w:t xml:space="preserve">a </w:t>
      </w:r>
      <w:r w:rsidR="005359EA">
        <w:rPr>
          <w:rFonts w:cs="Helvetica"/>
        </w:rPr>
        <w:t xml:space="preserve">clear </w:t>
      </w:r>
      <w:r w:rsidR="00544E3F">
        <w:rPr>
          <w:rFonts w:cs="Helvetica"/>
        </w:rPr>
        <w:t xml:space="preserve">message </w:t>
      </w:r>
      <w:r w:rsidR="005359EA">
        <w:rPr>
          <w:rFonts w:cs="Helvetica"/>
        </w:rPr>
        <w:t xml:space="preserve">about the consequences of serious non-compliance </w:t>
      </w:r>
      <w:r w:rsidR="00544E3F">
        <w:rPr>
          <w:rFonts w:cs="Helvetica"/>
        </w:rPr>
        <w:t xml:space="preserve">to </w:t>
      </w:r>
      <w:r w:rsidR="007A0BB8">
        <w:rPr>
          <w:rFonts w:cs="Helvetica"/>
        </w:rPr>
        <w:t>others</w:t>
      </w:r>
      <w:r w:rsidR="00017C7C">
        <w:rPr>
          <w:rFonts w:cs="Helvetica"/>
        </w:rPr>
        <w:t>.</w:t>
      </w:r>
    </w:p>
    <w:p w14:paraId="68A825B2" w14:textId="1C1A73FA" w:rsidR="00104F19" w:rsidRDefault="00C07FB8" w:rsidP="00F05EFE">
      <w:pPr>
        <w:rPr>
          <w:rFonts w:cs="Helvetica"/>
        </w:rPr>
      </w:pPr>
      <w:r>
        <w:rPr>
          <w:rFonts w:cs="Helvetica"/>
        </w:rPr>
        <w:t xml:space="preserve">In accord with the FWO’s Compliance and Enforcement Policy, </w:t>
      </w:r>
      <w:r w:rsidR="00104F19">
        <w:rPr>
          <w:rFonts w:cs="Helvetica"/>
        </w:rPr>
        <w:t>Fair Work Inspectors</w:t>
      </w:r>
      <w:r w:rsidR="00104F19" w:rsidRPr="009C5686">
        <w:rPr>
          <w:rFonts w:cs="Helvetica"/>
        </w:rPr>
        <w:t xml:space="preserve"> consider a range of factors when </w:t>
      </w:r>
      <w:r w:rsidR="00104F19" w:rsidRPr="00BD4635">
        <w:rPr>
          <w:rFonts w:cs="Helvetica"/>
        </w:rPr>
        <w:t xml:space="preserve">determining the </w:t>
      </w:r>
      <w:r w:rsidR="00104F19">
        <w:rPr>
          <w:rFonts w:cs="Helvetica"/>
        </w:rPr>
        <w:t xml:space="preserve">most </w:t>
      </w:r>
      <w:r w:rsidR="00104F19" w:rsidRPr="00BD4635">
        <w:rPr>
          <w:rFonts w:cs="Helvetica"/>
        </w:rPr>
        <w:t>approp</w:t>
      </w:r>
      <w:r w:rsidR="00104F19" w:rsidRPr="001E6ED3">
        <w:rPr>
          <w:rFonts w:cs="Helvetica"/>
        </w:rPr>
        <w:t xml:space="preserve">riate </w:t>
      </w:r>
      <w:r w:rsidR="00104F19">
        <w:rPr>
          <w:rFonts w:cs="Helvetica"/>
        </w:rPr>
        <w:t xml:space="preserve">compliance and </w:t>
      </w:r>
      <w:r w:rsidR="00104F19" w:rsidRPr="001E6ED3">
        <w:rPr>
          <w:rFonts w:cs="Helvetica"/>
        </w:rPr>
        <w:t xml:space="preserve">enforcement </w:t>
      </w:r>
      <w:r w:rsidR="00104F19">
        <w:rPr>
          <w:rFonts w:cs="Helvetica"/>
        </w:rPr>
        <w:t>response</w:t>
      </w:r>
      <w:r w:rsidR="00463FCF">
        <w:rPr>
          <w:rFonts w:cs="Helvetica"/>
        </w:rPr>
        <w:t xml:space="preserve"> to repeated breaches of the law</w:t>
      </w:r>
      <w:r w:rsidR="00C414CC">
        <w:rPr>
          <w:rFonts w:cs="Helvetica"/>
        </w:rPr>
        <w:t>.</w:t>
      </w:r>
      <w:r w:rsidR="00184852">
        <w:rPr>
          <w:rStyle w:val="FootnoteReference"/>
        </w:rPr>
        <w:footnoteReference w:id="8"/>
      </w:r>
      <w:r w:rsidR="00B033BB">
        <w:rPr>
          <w:rFonts w:cs="Helvetica"/>
        </w:rPr>
        <w:t xml:space="preserve"> The FWO will use s</w:t>
      </w:r>
      <w:r w:rsidR="00CB18E6">
        <w:rPr>
          <w:rFonts w:cs="Helvetica"/>
        </w:rPr>
        <w:t xml:space="preserve">tronger </w:t>
      </w:r>
      <w:r w:rsidR="00112C68">
        <w:rPr>
          <w:rFonts w:cs="Helvetica"/>
        </w:rPr>
        <w:t>sanctions when:</w:t>
      </w:r>
    </w:p>
    <w:p w14:paraId="15BB0B10" w14:textId="77777777" w:rsidR="00256022" w:rsidRDefault="00256022" w:rsidP="00F05EFE">
      <w:pPr>
        <w:pStyle w:val="Bullet"/>
      </w:pPr>
      <w:r w:rsidRPr="00806647">
        <w:t xml:space="preserve">the same type of non-compliance is </w:t>
      </w:r>
      <w:r>
        <w:t>repeated</w:t>
      </w:r>
    </w:p>
    <w:p w14:paraId="43A41FC8" w14:textId="77777777" w:rsidR="00256022" w:rsidRDefault="00256022" w:rsidP="00F05EFE">
      <w:pPr>
        <w:pStyle w:val="Bullet"/>
      </w:pPr>
      <w:r w:rsidRPr="00806647">
        <w:t xml:space="preserve">the business </w:t>
      </w:r>
      <w:r>
        <w:t>has not taken any proactive steps to become compliant between audits</w:t>
      </w:r>
    </w:p>
    <w:p w14:paraId="0A6413A0" w14:textId="77777777" w:rsidR="00256022" w:rsidRPr="00806647" w:rsidRDefault="00256022" w:rsidP="00F05EFE">
      <w:pPr>
        <w:pStyle w:val="Bullet"/>
      </w:pPr>
      <w:r>
        <w:t>the business does not cooperate with our processes</w:t>
      </w:r>
    </w:p>
    <w:p w14:paraId="3C519E0B" w14:textId="77777777" w:rsidR="00256022" w:rsidRPr="00806647" w:rsidRDefault="00256022" w:rsidP="00F05EFE">
      <w:pPr>
        <w:pStyle w:val="Bullet"/>
      </w:pPr>
      <w:r w:rsidRPr="00806647">
        <w:t>there are underpayments</w:t>
      </w:r>
    </w:p>
    <w:p w14:paraId="2228D953" w14:textId="77777777" w:rsidR="00256022" w:rsidRDefault="00934E96" w:rsidP="00F05EFE">
      <w:pPr>
        <w:pStyle w:val="Bullet"/>
      </w:pPr>
      <w:r>
        <w:t>b</w:t>
      </w:r>
      <w:r w:rsidR="00C67834">
        <w:t>reaches</w:t>
      </w:r>
      <w:r w:rsidR="00104F19">
        <w:t xml:space="preserve"> involve </w:t>
      </w:r>
      <w:r w:rsidR="00256022" w:rsidRPr="00806647">
        <w:t>vulnerable workers</w:t>
      </w:r>
    </w:p>
    <w:p w14:paraId="14260A04" w14:textId="77777777" w:rsidR="00276933" w:rsidRPr="00806647" w:rsidRDefault="00276933" w:rsidP="00C23F13">
      <w:pPr>
        <w:pStyle w:val="Bullet"/>
        <w:jc w:val="both"/>
      </w:pPr>
      <w:proofErr w:type="gramStart"/>
      <w:r>
        <w:t>the</w:t>
      </w:r>
      <w:proofErr w:type="gramEnd"/>
      <w:r>
        <w:t xml:space="preserve"> breaches are wide-ranging in their effect</w:t>
      </w:r>
      <w:r w:rsidR="007F5284">
        <w:t>, impacting on multiple employees.</w:t>
      </w:r>
      <w:r>
        <w:t xml:space="preserve"> </w:t>
      </w:r>
    </w:p>
    <w:p w14:paraId="125AEC29" w14:textId="2728FEF6" w:rsidR="001A09B7" w:rsidRPr="00266BAB" w:rsidRDefault="001A09B7" w:rsidP="00C23F13">
      <w:pPr>
        <w:jc w:val="both"/>
        <w:textAlignment w:val="center"/>
        <w:rPr>
          <w:rFonts w:cs="Helvetica"/>
          <w:szCs w:val="22"/>
        </w:rPr>
      </w:pPr>
      <w:r w:rsidRPr="00266BAB">
        <w:rPr>
          <w:rFonts w:cs="Helvetica"/>
          <w:szCs w:val="22"/>
        </w:rPr>
        <w:t xml:space="preserve">The nature of the non-compliance identified in </w:t>
      </w:r>
      <w:r w:rsidR="00557D9C">
        <w:rPr>
          <w:rFonts w:cs="Helvetica"/>
          <w:szCs w:val="22"/>
        </w:rPr>
        <w:t xml:space="preserve">this </w:t>
      </w:r>
      <w:r w:rsidR="0096684F">
        <w:rPr>
          <w:rFonts w:cs="Helvetica"/>
          <w:szCs w:val="22"/>
        </w:rPr>
        <w:t>C</w:t>
      </w:r>
      <w:r w:rsidRPr="00266BAB">
        <w:rPr>
          <w:rFonts w:cs="Helvetica"/>
          <w:szCs w:val="22"/>
        </w:rPr>
        <w:t>ampaign ranged from payslip omissions to the wilful disregard of minimum employment obligations.</w:t>
      </w:r>
      <w:r w:rsidR="008E5DBB">
        <w:rPr>
          <w:rFonts w:cs="Helvetica"/>
          <w:szCs w:val="22"/>
        </w:rPr>
        <w:t xml:space="preserve"> </w:t>
      </w:r>
    </w:p>
    <w:p w14:paraId="452296EB" w14:textId="77777777" w:rsidR="00557D9C" w:rsidRDefault="00722A59" w:rsidP="00C23F13">
      <w:pPr>
        <w:pStyle w:val="Bullet"/>
        <w:numPr>
          <w:ilvl w:val="0"/>
          <w:numId w:val="0"/>
        </w:numPr>
        <w:ind w:left="360" w:hanging="360"/>
        <w:jc w:val="both"/>
      </w:pPr>
      <w:r>
        <w:t>Of the 184 employers found to be in breach of their workplace relations obligations in the Campaign:</w:t>
      </w:r>
    </w:p>
    <w:p w14:paraId="5B048DC9" w14:textId="2EF35342" w:rsidR="00722A59" w:rsidRPr="00D83E3C" w:rsidRDefault="00722A59" w:rsidP="00D83E3C">
      <w:pPr>
        <w:pStyle w:val="Bullet"/>
      </w:pPr>
      <w:r w:rsidRPr="00D83E3C">
        <w:t>151 (82%) were subject to the use of FWO c</w:t>
      </w:r>
      <w:r w:rsidR="007C78FD" w:rsidRPr="00D83E3C">
        <w:t>ompliance and enforcement tools (of these, 13 were issued with more than one tool)</w:t>
      </w:r>
    </w:p>
    <w:p w14:paraId="58C03EBF" w14:textId="50EB7FD5" w:rsidR="00722A59" w:rsidRPr="00D83E3C" w:rsidRDefault="00D83E3C" w:rsidP="00D83E3C">
      <w:pPr>
        <w:pStyle w:val="Bullet"/>
      </w:pPr>
      <w:r w:rsidRPr="00D83E3C">
        <w:t>88 (48%) were issued with Formal C</w:t>
      </w:r>
      <w:r w:rsidR="00722A59" w:rsidRPr="00D83E3C">
        <w:t>autions</w:t>
      </w:r>
    </w:p>
    <w:p w14:paraId="62340059" w14:textId="47CDCC17" w:rsidR="00722A59" w:rsidRPr="00D83E3C" w:rsidRDefault="00722A59" w:rsidP="00D83E3C">
      <w:pPr>
        <w:pStyle w:val="Bullet"/>
      </w:pPr>
      <w:r w:rsidRPr="00D83E3C">
        <w:lastRenderedPageBreak/>
        <w:t xml:space="preserve">54 (29%) were issued </w:t>
      </w:r>
      <w:r w:rsidR="00742380" w:rsidRPr="00D83E3C">
        <w:t xml:space="preserve">with </w:t>
      </w:r>
      <w:r w:rsidRPr="00D83E3C">
        <w:t xml:space="preserve">Infringement Notices </w:t>
      </w:r>
      <w:r w:rsidR="00B96970" w:rsidRPr="00D83E3C">
        <w:t>(</w:t>
      </w:r>
      <w:r w:rsidRPr="00D83E3C">
        <w:t>fine</w:t>
      </w:r>
      <w:r w:rsidR="00B96970" w:rsidRPr="00D83E3C">
        <w:t>s</w:t>
      </w:r>
      <w:r w:rsidR="005857CD" w:rsidRPr="00D83E3C">
        <w:t>)</w:t>
      </w:r>
      <w:r w:rsidR="00742380" w:rsidRPr="00D83E3C">
        <w:t xml:space="preserve"> amounting to</w:t>
      </w:r>
      <w:r w:rsidR="002C5DFE" w:rsidRPr="00D83E3C">
        <w:t xml:space="preserve"> $20 340</w:t>
      </w:r>
      <w:r w:rsidR="00742380" w:rsidRPr="00D83E3C">
        <w:t xml:space="preserve"> in penalties</w:t>
      </w:r>
      <w:r w:rsidR="002C5DFE" w:rsidRPr="00D83E3C">
        <w:t xml:space="preserve"> for pay slip or record-keeping breaches</w:t>
      </w:r>
    </w:p>
    <w:p w14:paraId="7FFE43CC" w14:textId="0AE990C4" w:rsidR="00521141" w:rsidRPr="00D83E3C" w:rsidRDefault="00722A59" w:rsidP="00D83E3C">
      <w:pPr>
        <w:pStyle w:val="Bullet"/>
      </w:pPr>
      <w:r w:rsidRPr="00D83E3C">
        <w:t xml:space="preserve">16 were </w:t>
      </w:r>
      <w:r w:rsidR="00742380" w:rsidRPr="00D83E3C">
        <w:t>issue</w:t>
      </w:r>
      <w:r w:rsidR="00746718" w:rsidRPr="00D83E3C">
        <w:t>d</w:t>
      </w:r>
      <w:r w:rsidR="00D83E3C" w:rsidRPr="00D83E3C">
        <w:t xml:space="preserve"> with Compliance N</w:t>
      </w:r>
      <w:r w:rsidR="00742380" w:rsidRPr="00D83E3C">
        <w:t xml:space="preserve">otices, </w:t>
      </w:r>
      <w:r w:rsidR="00847FC4" w:rsidRPr="00D83E3C">
        <w:t>compelling</w:t>
      </w:r>
      <w:r w:rsidR="00742380" w:rsidRPr="00D83E3C">
        <w:t xml:space="preserve"> them to back-pay $</w:t>
      </w:r>
      <w:r w:rsidR="00420B7A" w:rsidRPr="00D83E3C">
        <w:t>6</w:t>
      </w:r>
      <w:r w:rsidR="00420B7A">
        <w:t>1</w:t>
      </w:r>
      <w:r w:rsidR="00420B7A" w:rsidRPr="00D83E3C">
        <w:t xml:space="preserve"> </w:t>
      </w:r>
      <w:r w:rsidR="002C5DFE" w:rsidRPr="00D83E3C">
        <w:t xml:space="preserve">565 </w:t>
      </w:r>
      <w:r w:rsidR="00742380" w:rsidRPr="00D83E3C">
        <w:t>to</w:t>
      </w:r>
      <w:r w:rsidR="00C42037" w:rsidRPr="00D83E3C">
        <w:t xml:space="preserve"> </w:t>
      </w:r>
      <w:r w:rsidR="00742380" w:rsidRPr="00D83E3C">
        <w:t>100 employees</w:t>
      </w:r>
    </w:p>
    <w:p w14:paraId="587BF7C6" w14:textId="60EE17E0" w:rsidR="007C78FD" w:rsidRDefault="00847FC4" w:rsidP="00E6799F">
      <w:pPr>
        <w:pStyle w:val="Bullet"/>
      </w:pPr>
      <w:r w:rsidRPr="00D83E3C">
        <w:t>F</w:t>
      </w:r>
      <w:r w:rsidR="007C78FD" w:rsidRPr="00D83E3C">
        <w:t>ast food franchisor</w:t>
      </w:r>
      <w:r w:rsidR="008A2A40" w:rsidRPr="00D83E3C">
        <w:t xml:space="preserve"> (</w:t>
      </w:r>
      <w:hyperlink r:id="rId8" w:history="1">
        <w:r w:rsidR="00E6799F">
          <w:rPr>
            <w:rStyle w:val="Hyperlink"/>
            <w:rFonts w:asciiTheme="minorHAnsi" w:hAnsiTheme="minorHAnsi"/>
          </w:rPr>
          <w:t>Xin Long Pty Ltd</w:t>
        </w:r>
      </w:hyperlink>
      <w:r w:rsidR="008A2A40" w:rsidRPr="00D83E3C">
        <w:t>)</w:t>
      </w:r>
      <w:r w:rsidR="007C78FD" w:rsidRPr="00D83E3C">
        <w:t xml:space="preserve"> – entered into an Enforceable Undertaking with the FWO after re-paying $5122 to employees</w:t>
      </w:r>
      <w:r w:rsidR="008A2A40" w:rsidRPr="00D83E3C">
        <w:t xml:space="preserve">, which required them to </w:t>
      </w:r>
      <w:r w:rsidR="008E5DBB" w:rsidRPr="00D83E3C">
        <w:t>amend</w:t>
      </w:r>
      <w:r w:rsidR="008A2A40" w:rsidRPr="00D83E3C">
        <w:t xml:space="preserve"> their workplace relations practices</w:t>
      </w:r>
      <w:r w:rsidR="00E6799F">
        <w:t xml:space="preserve"> </w:t>
      </w:r>
    </w:p>
    <w:p w14:paraId="26DD3AC7" w14:textId="6BFA2E48" w:rsidR="00F96046" w:rsidRPr="00D83E3C" w:rsidRDefault="008A2A40" w:rsidP="00D83E3C">
      <w:pPr>
        <w:pStyle w:val="Bullet"/>
      </w:pPr>
      <w:r w:rsidRPr="00D83E3C">
        <w:t xml:space="preserve">Two nail salon </w:t>
      </w:r>
      <w:r w:rsidR="00F96046" w:rsidRPr="00D83E3C">
        <w:t>owners</w:t>
      </w:r>
      <w:r w:rsidRPr="00D83E3C">
        <w:t xml:space="preserve"> operating in Adelaide were litigated by the FWO</w:t>
      </w:r>
      <w:r w:rsidR="00F96046" w:rsidRPr="00D83E3C">
        <w:t xml:space="preserve"> for deliberate non-compliance with workplace laws</w:t>
      </w:r>
      <w:r w:rsidRPr="00D83E3C">
        <w:t xml:space="preserve">. The FWO recovered </w:t>
      </w:r>
      <w:r w:rsidR="00F96046" w:rsidRPr="00D83E3C">
        <w:t xml:space="preserve">$60 514 in outstanding entitlements for </w:t>
      </w:r>
      <w:r w:rsidR="00EE7A91" w:rsidRPr="00D83E3C">
        <w:t xml:space="preserve">a total of </w:t>
      </w:r>
      <w:r w:rsidR="00F96046" w:rsidRPr="00D83E3C">
        <w:t>seven employees and the court imposed penalties amounting to $140 560</w:t>
      </w:r>
      <w:r w:rsidR="00E341D0" w:rsidRPr="00D83E3C">
        <w:t xml:space="preserve"> across the two matters</w:t>
      </w:r>
      <w:r w:rsidR="008A26A8">
        <w:rPr>
          <w:rStyle w:val="FootnoteReference"/>
        </w:rPr>
        <w:footnoteReference w:id="9"/>
      </w:r>
      <w:r w:rsidR="00E341D0" w:rsidRPr="00D83E3C">
        <w:t>.</w:t>
      </w:r>
      <w:r w:rsidR="00F96046" w:rsidRPr="00D83E3C">
        <w:t xml:space="preserve"> </w:t>
      </w:r>
    </w:p>
    <w:p w14:paraId="2A3EE60D" w14:textId="3D636A8C" w:rsidR="008A26A8" w:rsidRDefault="00F6448D" w:rsidP="00D83E3C">
      <w:pPr>
        <w:textAlignment w:val="center"/>
        <w:rPr>
          <w:rFonts w:cs="Helvetica"/>
          <w:szCs w:val="22"/>
        </w:rPr>
      </w:pPr>
      <w:r>
        <w:rPr>
          <w:rFonts w:cs="Helvetica"/>
          <w:szCs w:val="22"/>
        </w:rPr>
        <w:t>A</w:t>
      </w:r>
      <w:r w:rsidR="00FA4FC2">
        <w:rPr>
          <w:rFonts w:cs="Helvetica"/>
          <w:szCs w:val="22"/>
        </w:rPr>
        <w:t xml:space="preserve"> significant </w:t>
      </w:r>
      <w:r>
        <w:rPr>
          <w:rFonts w:cs="Helvetica"/>
          <w:szCs w:val="22"/>
        </w:rPr>
        <w:t>outcome of</w:t>
      </w:r>
      <w:r w:rsidR="00FA4FC2">
        <w:rPr>
          <w:rFonts w:cs="Helvetica"/>
          <w:szCs w:val="22"/>
        </w:rPr>
        <w:t xml:space="preserve"> the Campaign </w:t>
      </w:r>
      <w:r w:rsidR="00A11657">
        <w:rPr>
          <w:rFonts w:cs="Helvetica"/>
          <w:szCs w:val="22"/>
        </w:rPr>
        <w:t xml:space="preserve">was </w:t>
      </w:r>
      <w:r>
        <w:rPr>
          <w:rFonts w:cs="Helvetica"/>
          <w:szCs w:val="22"/>
        </w:rPr>
        <w:t>the discovery of unpaid training in the</w:t>
      </w:r>
      <w:r w:rsidR="00EA2E82">
        <w:rPr>
          <w:rFonts w:cs="Helvetica"/>
          <w:szCs w:val="22"/>
        </w:rPr>
        <w:t xml:space="preserve"> </w:t>
      </w:r>
      <w:r w:rsidR="00FA4FC2">
        <w:rPr>
          <w:rFonts w:cs="Helvetica"/>
          <w:szCs w:val="22"/>
        </w:rPr>
        <w:t>Chemist Warehouse</w:t>
      </w:r>
      <w:r w:rsidR="00EA2E82">
        <w:rPr>
          <w:rFonts w:cs="Helvetica"/>
          <w:szCs w:val="22"/>
        </w:rPr>
        <w:t xml:space="preserve"> </w:t>
      </w:r>
      <w:r>
        <w:rPr>
          <w:rFonts w:cs="Helvetica"/>
          <w:szCs w:val="22"/>
        </w:rPr>
        <w:t xml:space="preserve">network of </w:t>
      </w:r>
      <w:r w:rsidR="00EA2E82">
        <w:rPr>
          <w:rFonts w:cs="Helvetica"/>
          <w:szCs w:val="22"/>
        </w:rPr>
        <w:t>outlets</w:t>
      </w:r>
      <w:r w:rsidR="00FA4FC2">
        <w:rPr>
          <w:rFonts w:cs="Helvetica"/>
          <w:szCs w:val="22"/>
        </w:rPr>
        <w:t xml:space="preserve">.  </w:t>
      </w:r>
    </w:p>
    <w:p w14:paraId="6A2E838D" w14:textId="77777777" w:rsidR="008A26A8" w:rsidRPr="00A81BF4" w:rsidRDefault="008A26A8" w:rsidP="008A26A8">
      <w:pPr>
        <w:pStyle w:val="Calloutbox1"/>
      </w:pPr>
      <w:r>
        <w:t xml:space="preserve">Chemist Warehouse Compliance Partnership </w:t>
      </w:r>
    </w:p>
    <w:p w14:paraId="1579A998" w14:textId="155A7899" w:rsidR="008A26A8" w:rsidRDefault="008A26A8" w:rsidP="008A26A8">
      <w:pPr>
        <w:pStyle w:val="Calloutbox1"/>
        <w:rPr>
          <w:b w:val="0"/>
        </w:rPr>
      </w:pPr>
      <w:r>
        <w:rPr>
          <w:b w:val="0"/>
        </w:rPr>
        <w:t xml:space="preserve">Fair Work Inspectors </w:t>
      </w:r>
      <w:r w:rsidRPr="00FB5B34">
        <w:rPr>
          <w:b w:val="0"/>
        </w:rPr>
        <w:t xml:space="preserve">audited the time and wage records of </w:t>
      </w:r>
      <w:r w:rsidR="001579C2">
        <w:rPr>
          <w:b w:val="0"/>
        </w:rPr>
        <w:t>a number of</w:t>
      </w:r>
      <w:r w:rsidRPr="00FB5B34">
        <w:rPr>
          <w:b w:val="0"/>
        </w:rPr>
        <w:t xml:space="preserve"> Chemist Warehouse </w:t>
      </w:r>
      <w:r>
        <w:rPr>
          <w:b w:val="0"/>
        </w:rPr>
        <w:t xml:space="preserve">outlet </w:t>
      </w:r>
      <w:r w:rsidRPr="00FB5B34">
        <w:rPr>
          <w:b w:val="0"/>
        </w:rPr>
        <w:t>stores across Australia</w:t>
      </w:r>
      <w:r>
        <w:rPr>
          <w:b w:val="0"/>
        </w:rPr>
        <w:t xml:space="preserve"> as part of the FWO’s National Compliance Monitoring program</w:t>
      </w:r>
      <w:r w:rsidRPr="00FB5B34">
        <w:rPr>
          <w:b w:val="0"/>
        </w:rPr>
        <w:t xml:space="preserve">. </w:t>
      </w:r>
      <w:r>
        <w:rPr>
          <w:b w:val="0"/>
        </w:rPr>
        <w:t>All audited o</w:t>
      </w:r>
      <w:r w:rsidRPr="00FB5B34">
        <w:rPr>
          <w:b w:val="0"/>
        </w:rPr>
        <w:t xml:space="preserve">utlets were compliant with </w:t>
      </w:r>
      <w:r>
        <w:rPr>
          <w:b w:val="0"/>
        </w:rPr>
        <w:t>the pay</w:t>
      </w:r>
      <w:r w:rsidRPr="00FB5B34">
        <w:rPr>
          <w:b w:val="0"/>
        </w:rPr>
        <w:t xml:space="preserve"> </w:t>
      </w:r>
      <w:r>
        <w:rPr>
          <w:b w:val="0"/>
        </w:rPr>
        <w:t>rates prescribed by</w:t>
      </w:r>
      <w:r w:rsidRPr="00320404">
        <w:rPr>
          <w:b w:val="0"/>
        </w:rPr>
        <w:t xml:space="preserve"> </w:t>
      </w:r>
      <w:r w:rsidRPr="00FB5B34">
        <w:rPr>
          <w:b w:val="0"/>
        </w:rPr>
        <w:t xml:space="preserve">the </w:t>
      </w:r>
      <w:r w:rsidRPr="008A26A8">
        <w:rPr>
          <w:b w:val="0"/>
          <w:i/>
        </w:rPr>
        <w:t>Pharmacy Industry Award 2010</w:t>
      </w:r>
      <w:r>
        <w:rPr>
          <w:b w:val="0"/>
        </w:rPr>
        <w:t>, and the</w:t>
      </w:r>
      <w:r w:rsidRPr="00320404">
        <w:rPr>
          <w:b w:val="0"/>
        </w:rPr>
        <w:t xml:space="preserve"> </w:t>
      </w:r>
      <w:r w:rsidRPr="00FB5B34">
        <w:rPr>
          <w:b w:val="0"/>
        </w:rPr>
        <w:t>pay slip and record-keeping obligations</w:t>
      </w:r>
      <w:r>
        <w:rPr>
          <w:b w:val="0"/>
        </w:rPr>
        <w:t xml:space="preserve"> of the Fair Work Act and Regulations.  </w:t>
      </w:r>
      <w:r w:rsidRPr="00FB5B34">
        <w:rPr>
          <w:b w:val="0"/>
        </w:rPr>
        <w:t>However,</w:t>
      </w:r>
      <w:r>
        <w:rPr>
          <w:b w:val="0"/>
        </w:rPr>
        <w:t xml:space="preserve"> the FWO</w:t>
      </w:r>
      <w:r w:rsidRPr="00FB5B34">
        <w:rPr>
          <w:b w:val="0"/>
        </w:rPr>
        <w:t xml:space="preserve"> asked Chemist Warehouse Head Office to check</w:t>
      </w:r>
      <w:r>
        <w:rPr>
          <w:b w:val="0"/>
        </w:rPr>
        <w:t xml:space="preserve"> whether outlet </w:t>
      </w:r>
      <w:r w:rsidRPr="00FB5B34">
        <w:rPr>
          <w:b w:val="0"/>
        </w:rPr>
        <w:t xml:space="preserve">staff </w:t>
      </w:r>
      <w:r>
        <w:rPr>
          <w:b w:val="0"/>
        </w:rPr>
        <w:t xml:space="preserve">had been paid correctly </w:t>
      </w:r>
      <w:r w:rsidRPr="00FB5B34">
        <w:rPr>
          <w:b w:val="0"/>
        </w:rPr>
        <w:t xml:space="preserve">for </w:t>
      </w:r>
      <w:r>
        <w:rPr>
          <w:b w:val="0"/>
        </w:rPr>
        <w:t xml:space="preserve">online </w:t>
      </w:r>
      <w:r w:rsidRPr="00FB5B34">
        <w:rPr>
          <w:b w:val="0"/>
        </w:rPr>
        <w:t xml:space="preserve">training </w:t>
      </w:r>
      <w:r>
        <w:rPr>
          <w:b w:val="0"/>
        </w:rPr>
        <w:t xml:space="preserve">undertaken </w:t>
      </w:r>
      <w:r w:rsidRPr="00FB5B34">
        <w:rPr>
          <w:b w:val="0"/>
        </w:rPr>
        <w:t>af</w:t>
      </w:r>
      <w:r>
        <w:rPr>
          <w:b w:val="0"/>
        </w:rPr>
        <w:t xml:space="preserve">ter hours. </w:t>
      </w:r>
      <w:r w:rsidR="001579C2">
        <w:rPr>
          <w:b w:val="0"/>
        </w:rPr>
        <w:t>Notwithstanding t</w:t>
      </w:r>
      <w:r>
        <w:rPr>
          <w:b w:val="0"/>
        </w:rPr>
        <w:t xml:space="preserve">he company had previously </w:t>
      </w:r>
      <w:r w:rsidRPr="00FB5B34">
        <w:rPr>
          <w:b w:val="0"/>
        </w:rPr>
        <w:t xml:space="preserve">notified </w:t>
      </w:r>
      <w:r>
        <w:rPr>
          <w:b w:val="0"/>
        </w:rPr>
        <w:t xml:space="preserve">outlets </w:t>
      </w:r>
      <w:r w:rsidRPr="00FB5B34">
        <w:rPr>
          <w:b w:val="0"/>
        </w:rPr>
        <w:t xml:space="preserve">that </w:t>
      </w:r>
      <w:r>
        <w:rPr>
          <w:b w:val="0"/>
        </w:rPr>
        <w:t xml:space="preserve">all </w:t>
      </w:r>
      <w:r w:rsidRPr="00FB5B34">
        <w:rPr>
          <w:b w:val="0"/>
        </w:rPr>
        <w:t>training was to be paid</w:t>
      </w:r>
      <w:r>
        <w:rPr>
          <w:b w:val="0"/>
        </w:rPr>
        <w:t xml:space="preserve">, </w:t>
      </w:r>
      <w:r w:rsidR="001579C2">
        <w:rPr>
          <w:b w:val="0"/>
        </w:rPr>
        <w:t>a review</w:t>
      </w:r>
      <w:r w:rsidRPr="00FB5B34">
        <w:rPr>
          <w:b w:val="0"/>
        </w:rPr>
        <w:t xml:space="preserve"> found 294 outlets owed 5976 employees a total of $3 569 212</w:t>
      </w:r>
      <w:r>
        <w:rPr>
          <w:b w:val="0"/>
        </w:rPr>
        <w:t>.</w:t>
      </w:r>
    </w:p>
    <w:p w14:paraId="776BD8DF" w14:textId="41D302D2" w:rsidR="008A26A8" w:rsidRDefault="008A26A8" w:rsidP="008A26A8">
      <w:pPr>
        <w:pStyle w:val="Calloutbox1"/>
        <w:rPr>
          <w:b w:val="0"/>
        </w:rPr>
      </w:pPr>
      <w:r w:rsidRPr="00FB5B34">
        <w:rPr>
          <w:b w:val="0"/>
        </w:rPr>
        <w:t xml:space="preserve">The company ensured </w:t>
      </w:r>
      <w:r>
        <w:rPr>
          <w:b w:val="0"/>
        </w:rPr>
        <w:t xml:space="preserve">that </w:t>
      </w:r>
      <w:r w:rsidRPr="00FB5B34">
        <w:rPr>
          <w:b w:val="0"/>
        </w:rPr>
        <w:t xml:space="preserve">all affected employees were </w:t>
      </w:r>
      <w:r>
        <w:rPr>
          <w:b w:val="0"/>
        </w:rPr>
        <w:t xml:space="preserve">back </w:t>
      </w:r>
      <w:r w:rsidRPr="00FB5B34">
        <w:rPr>
          <w:b w:val="0"/>
        </w:rPr>
        <w:t>paid in full</w:t>
      </w:r>
      <w:r>
        <w:rPr>
          <w:b w:val="0"/>
        </w:rPr>
        <w:t xml:space="preserve">. To improve compliance throughout its network, </w:t>
      </w:r>
      <w:r w:rsidR="001579C2">
        <w:rPr>
          <w:b w:val="0"/>
        </w:rPr>
        <w:t xml:space="preserve">Chemist Warehouse </w:t>
      </w:r>
      <w:r>
        <w:rPr>
          <w:b w:val="0"/>
        </w:rPr>
        <w:t xml:space="preserve">entered into a three-year </w:t>
      </w:r>
      <w:r w:rsidRPr="00FB5B34">
        <w:rPr>
          <w:b w:val="0"/>
        </w:rPr>
        <w:t xml:space="preserve">compliance partnership </w:t>
      </w:r>
      <w:r>
        <w:rPr>
          <w:b w:val="0"/>
        </w:rPr>
        <w:t>with the FWO</w:t>
      </w:r>
      <w:r w:rsidR="001579C2">
        <w:rPr>
          <w:b w:val="0"/>
        </w:rPr>
        <w:t xml:space="preserve"> on </w:t>
      </w:r>
      <w:r w:rsidRPr="00FB5B34">
        <w:rPr>
          <w:b w:val="0"/>
        </w:rPr>
        <w:t>24 November 2016</w:t>
      </w:r>
      <w:r>
        <w:rPr>
          <w:b w:val="0"/>
        </w:rPr>
        <w:t>.</w:t>
      </w:r>
      <w:r w:rsidR="001579C2">
        <w:rPr>
          <w:b w:val="0"/>
        </w:rPr>
        <w:t xml:space="preserve"> </w:t>
      </w:r>
      <w:r>
        <w:rPr>
          <w:b w:val="0"/>
        </w:rPr>
        <w:t xml:space="preserve">The progress of the compliance partnership is detailed in the FWO’s </w:t>
      </w:r>
      <w:r w:rsidRPr="008A26A8">
        <w:rPr>
          <w:b w:val="0"/>
        </w:rPr>
        <w:t>Retail Services Pty Ltd (Chemist Warehouse) Proactive Compliance Deed Interim report</w:t>
      </w:r>
      <w:r w:rsidR="00EA2E82">
        <w:rPr>
          <w:rStyle w:val="FootnoteReference"/>
          <w:b w:val="0"/>
        </w:rPr>
        <w:footnoteReference w:id="10"/>
      </w:r>
      <w:r>
        <w:rPr>
          <w:b w:val="0"/>
        </w:rPr>
        <w:t>.</w:t>
      </w:r>
      <w:r>
        <w:rPr>
          <w:rFonts w:ascii="LiberationSans-Regular" w:hAnsi="LiberationSans-Regular"/>
          <w:color w:val="231F20"/>
          <w:lang w:val="en"/>
        </w:rPr>
        <w:t xml:space="preserve"> </w:t>
      </w:r>
    </w:p>
    <w:p w14:paraId="2393746F" w14:textId="77777777" w:rsidR="0055136D" w:rsidRDefault="0055136D" w:rsidP="0055136D">
      <w:pPr>
        <w:spacing w:before="240"/>
        <w:textAlignment w:val="center"/>
        <w:rPr>
          <w:rFonts w:cs="Helvetica"/>
          <w:szCs w:val="22"/>
        </w:rPr>
      </w:pPr>
      <w:r>
        <w:rPr>
          <w:rFonts w:cs="Helvetica"/>
          <w:szCs w:val="22"/>
        </w:rPr>
        <w:br w:type="page"/>
      </w:r>
    </w:p>
    <w:p w14:paraId="52494537" w14:textId="60B53A89" w:rsidR="00F24CD9" w:rsidRDefault="001A09B7" w:rsidP="0055136D">
      <w:pPr>
        <w:spacing w:before="240"/>
        <w:textAlignment w:val="center"/>
        <w:rPr>
          <w:rFonts w:cs="Helvetica"/>
          <w:szCs w:val="22"/>
        </w:rPr>
      </w:pPr>
      <w:r>
        <w:rPr>
          <w:rFonts w:cs="Helvetica"/>
          <w:szCs w:val="22"/>
        </w:rPr>
        <w:lastRenderedPageBreak/>
        <w:t>Overall, there was an 11% increase in the use of compliance and enforcement tools compar</w:t>
      </w:r>
      <w:r w:rsidR="00F24CD9">
        <w:rPr>
          <w:rFonts w:cs="Helvetica"/>
          <w:szCs w:val="22"/>
        </w:rPr>
        <w:t>ed with</w:t>
      </w:r>
      <w:r>
        <w:rPr>
          <w:rFonts w:cs="Helvetica"/>
          <w:szCs w:val="22"/>
        </w:rPr>
        <w:t xml:space="preserve"> the previous</w:t>
      </w:r>
      <w:r w:rsidRPr="00281A0F">
        <w:rPr>
          <w:rFonts w:cs="Helvetica"/>
          <w:szCs w:val="22"/>
        </w:rPr>
        <w:t xml:space="preserve"> </w:t>
      </w:r>
      <w:r w:rsidR="002351BB" w:rsidRPr="002351BB">
        <w:t>National Compliance M</w:t>
      </w:r>
      <w:r w:rsidR="00DB4142" w:rsidRPr="002351BB">
        <w:t xml:space="preserve">onitoring </w:t>
      </w:r>
      <w:r w:rsidR="00737CD4">
        <w:t>C</w:t>
      </w:r>
      <w:r w:rsidR="00DB4142" w:rsidRPr="002351BB">
        <w:t>ampaign</w:t>
      </w:r>
      <w:r w:rsidR="00DB4142">
        <w:rPr>
          <w:rFonts w:cs="Helvetica"/>
          <w:szCs w:val="22"/>
        </w:rPr>
        <w:t xml:space="preserve"> </w:t>
      </w:r>
      <w:r>
        <w:rPr>
          <w:rFonts w:cs="Helvetica"/>
          <w:szCs w:val="22"/>
        </w:rPr>
        <w:t>(see Table 1).</w:t>
      </w:r>
      <w:r w:rsidR="002351BB">
        <w:rPr>
          <w:rStyle w:val="FootnoteReference"/>
          <w:szCs w:val="22"/>
        </w:rPr>
        <w:footnoteReference w:id="11"/>
      </w:r>
      <w:r>
        <w:rPr>
          <w:rFonts w:cs="Helvetica"/>
          <w:szCs w:val="22"/>
        </w:rPr>
        <w:t xml:space="preserve"> </w:t>
      </w:r>
    </w:p>
    <w:p w14:paraId="6857C14B" w14:textId="355C5FCD" w:rsidR="001A09B7" w:rsidRDefault="001A09B7" w:rsidP="00D83E3C">
      <w:pPr>
        <w:textAlignment w:val="center"/>
        <w:rPr>
          <w:rFonts w:cs="Helvetica"/>
          <w:szCs w:val="22"/>
        </w:rPr>
      </w:pPr>
      <w:r>
        <w:rPr>
          <w:rFonts w:cs="Helvetica"/>
          <w:szCs w:val="22"/>
        </w:rPr>
        <w:t>A greater proportion of non-compliant employers were also subject to the use of FWO’s specific enforcement powers (Infringement and Compliance Notices, Enforceable Undertakings, and litigation). These escalated responses are reflective of the more serious nature of the breaches identified, as well as the FWO’s continuing resolve to address and deter persistent non-compliance.</w:t>
      </w:r>
    </w:p>
    <w:p w14:paraId="099F573B" w14:textId="631B56F6" w:rsidR="001A09B7" w:rsidRPr="00BB17CA" w:rsidRDefault="001A09B7" w:rsidP="00BB17CA">
      <w:pPr>
        <w:spacing w:line="240" w:lineRule="auto"/>
        <w:rPr>
          <w:b/>
        </w:rPr>
      </w:pPr>
      <w:r w:rsidRPr="00BB17CA">
        <w:rPr>
          <w:b/>
        </w:rPr>
        <w:t>Table 1: A comparison of compliance and enforcement outcomes from current and previous National Compliance Monitoring campaigns.</w:t>
      </w:r>
    </w:p>
    <w:tbl>
      <w:tblPr>
        <w:tblW w:w="9493" w:type="dxa"/>
        <w:tblLook w:val="04A0" w:firstRow="1" w:lastRow="0" w:firstColumn="1" w:lastColumn="0" w:noHBand="0" w:noVBand="1"/>
        <w:tblCaption w:val="Table 1: A comparison of compliance and enforcement outcomes from current and previous National Compliance Monitoring campaigns."/>
        <w:tblDescription w:val="Table comparing compliance and enforcement outcomes between current NCM campaign (2016-17) and previous one (2015-16)"/>
      </w:tblPr>
      <w:tblGrid>
        <w:gridCol w:w="4673"/>
        <w:gridCol w:w="2552"/>
        <w:gridCol w:w="2268"/>
      </w:tblGrid>
      <w:tr w:rsidR="001A09B7" w:rsidRPr="007F1CF3" w14:paraId="504BE87E" w14:textId="77777777" w:rsidTr="008748E6">
        <w:trPr>
          <w:trHeight w:val="288"/>
          <w:tblHeader/>
        </w:trPr>
        <w:tc>
          <w:tcPr>
            <w:tcW w:w="4673" w:type="dxa"/>
            <w:tcBorders>
              <w:top w:val="single" w:sz="4" w:space="0" w:color="auto"/>
              <w:left w:val="single" w:sz="4" w:space="0" w:color="auto"/>
              <w:bottom w:val="single" w:sz="4" w:space="0" w:color="auto"/>
              <w:right w:val="single" w:sz="4" w:space="0" w:color="auto"/>
            </w:tcBorders>
            <w:shd w:val="clear" w:color="000000" w:fill="BDE7EE"/>
            <w:noWrap/>
            <w:vAlign w:val="center"/>
            <w:hideMark/>
          </w:tcPr>
          <w:p w14:paraId="40E22503" w14:textId="77777777" w:rsidR="001A09B7" w:rsidRPr="005952E9" w:rsidRDefault="001A09B7" w:rsidP="00EE0E30">
            <w:pPr>
              <w:spacing w:before="100" w:beforeAutospacing="1" w:after="0" w:line="480" w:lineRule="auto"/>
              <w:rPr>
                <w:rFonts w:ascii="Calibri" w:hAnsi="Calibri" w:cs="Times New Roman"/>
                <w:color w:val="000000"/>
                <w:szCs w:val="22"/>
                <w:lang w:eastAsia="en-AU"/>
              </w:rPr>
            </w:pPr>
            <w:r w:rsidRPr="005952E9">
              <w:rPr>
                <w:rFonts w:ascii="Calibri" w:hAnsi="Calibri" w:cs="Calibri"/>
                <w:bCs/>
                <w:color w:val="000000"/>
                <w:szCs w:val="22"/>
                <w:lang w:eastAsia="en-AU"/>
              </w:rPr>
              <w:t>FWO compliance and enforcement responses</w:t>
            </w:r>
          </w:p>
        </w:tc>
        <w:tc>
          <w:tcPr>
            <w:tcW w:w="2552" w:type="dxa"/>
            <w:tcBorders>
              <w:top w:val="single" w:sz="4" w:space="0" w:color="auto"/>
              <w:left w:val="nil"/>
              <w:bottom w:val="single" w:sz="4" w:space="0" w:color="auto"/>
              <w:right w:val="single" w:sz="4" w:space="0" w:color="auto"/>
            </w:tcBorders>
            <w:shd w:val="clear" w:color="000000" w:fill="BDE7EE"/>
            <w:noWrap/>
            <w:hideMark/>
          </w:tcPr>
          <w:p w14:paraId="3AEDB7F3" w14:textId="745E2BC2" w:rsidR="002351BB" w:rsidRDefault="001A09B7" w:rsidP="002351BB">
            <w:pPr>
              <w:spacing w:after="0" w:line="240" w:lineRule="auto"/>
              <w:jc w:val="center"/>
              <w:rPr>
                <w:rFonts w:ascii="Calibri" w:eastAsiaTheme="minorHAnsi" w:hAnsi="Calibri" w:cs="Times New Roman"/>
                <w:color w:val="000000"/>
                <w:szCs w:val="22"/>
                <w:lang w:eastAsia="en-AU"/>
              </w:rPr>
            </w:pPr>
            <w:r w:rsidRPr="005952E9">
              <w:rPr>
                <w:rFonts w:ascii="Calibri" w:eastAsiaTheme="minorHAnsi" w:hAnsi="Calibri" w:cs="Times New Roman"/>
                <w:color w:val="000000"/>
                <w:szCs w:val="22"/>
                <w:lang w:eastAsia="en-AU"/>
              </w:rPr>
              <w:t>NCM</w:t>
            </w:r>
            <w:r w:rsidR="00F24CD9">
              <w:rPr>
                <w:rFonts w:ascii="Calibri" w:eastAsiaTheme="minorHAnsi" w:hAnsi="Calibri" w:cs="Times New Roman"/>
                <w:color w:val="000000"/>
                <w:szCs w:val="22"/>
                <w:lang w:eastAsia="en-AU"/>
              </w:rPr>
              <w:t xml:space="preserve"> #1</w:t>
            </w:r>
          </w:p>
          <w:p w14:paraId="3EB2AEDE" w14:textId="0370D595" w:rsidR="001A09B7" w:rsidRPr="005952E9" w:rsidRDefault="001A09B7" w:rsidP="00EE0E30">
            <w:pPr>
              <w:spacing w:after="0" w:line="240" w:lineRule="auto"/>
              <w:jc w:val="center"/>
              <w:rPr>
                <w:szCs w:val="22"/>
              </w:rPr>
            </w:pPr>
          </w:p>
        </w:tc>
        <w:tc>
          <w:tcPr>
            <w:tcW w:w="2268" w:type="dxa"/>
            <w:tcBorders>
              <w:top w:val="single" w:sz="4" w:space="0" w:color="auto"/>
              <w:left w:val="nil"/>
              <w:bottom w:val="single" w:sz="4" w:space="0" w:color="auto"/>
              <w:right w:val="single" w:sz="4" w:space="0" w:color="auto"/>
            </w:tcBorders>
            <w:shd w:val="clear" w:color="000000" w:fill="BDE7EE"/>
            <w:noWrap/>
            <w:vAlign w:val="bottom"/>
            <w:hideMark/>
          </w:tcPr>
          <w:p w14:paraId="67EB5F20" w14:textId="65985FE3" w:rsidR="001A09B7" w:rsidRPr="005952E9" w:rsidRDefault="001A09B7" w:rsidP="00EE0E30">
            <w:pPr>
              <w:spacing w:after="0" w:line="240" w:lineRule="auto"/>
              <w:jc w:val="center"/>
              <w:rPr>
                <w:rFonts w:ascii="Calibri" w:hAnsi="Calibri" w:cs="Times New Roman"/>
                <w:color w:val="000000"/>
                <w:szCs w:val="22"/>
                <w:lang w:eastAsia="en-AU"/>
              </w:rPr>
            </w:pPr>
            <w:r w:rsidRPr="005952E9">
              <w:rPr>
                <w:rFonts w:ascii="Calibri" w:eastAsiaTheme="minorHAnsi" w:hAnsi="Calibri" w:cs="Times New Roman"/>
                <w:color w:val="000000"/>
                <w:szCs w:val="22"/>
                <w:lang w:eastAsia="en-AU"/>
              </w:rPr>
              <w:t>NCM</w:t>
            </w:r>
            <w:r w:rsidR="00F24CD9">
              <w:rPr>
                <w:rFonts w:ascii="Calibri" w:eastAsiaTheme="minorHAnsi" w:hAnsi="Calibri" w:cs="Times New Roman"/>
                <w:color w:val="000000"/>
                <w:szCs w:val="22"/>
                <w:lang w:eastAsia="en-AU"/>
              </w:rPr>
              <w:t xml:space="preserve"> #2</w:t>
            </w:r>
          </w:p>
          <w:p w14:paraId="4BAD3EB8" w14:textId="2B2AEAD9" w:rsidR="001A09B7" w:rsidRPr="005952E9" w:rsidRDefault="001A09B7" w:rsidP="00EE0E30">
            <w:pPr>
              <w:spacing w:after="0" w:line="240" w:lineRule="auto"/>
              <w:jc w:val="center"/>
              <w:rPr>
                <w:rFonts w:ascii="Calibri" w:hAnsi="Calibri" w:cs="Times New Roman"/>
                <w:color w:val="000000"/>
                <w:szCs w:val="22"/>
                <w:lang w:eastAsia="en-AU"/>
              </w:rPr>
            </w:pPr>
          </w:p>
        </w:tc>
      </w:tr>
      <w:tr w:rsidR="001A09B7" w:rsidRPr="007F1CF3" w14:paraId="4CE76E63" w14:textId="77777777" w:rsidTr="008748E6">
        <w:trPr>
          <w:trHeight w:val="180"/>
          <w:tblHeader/>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0B2306D7" w14:textId="7A5E6077" w:rsidR="001A09B7" w:rsidRPr="005952E9" w:rsidRDefault="002351BB" w:rsidP="002351BB">
            <w:pPr>
              <w:spacing w:after="0" w:line="240" w:lineRule="auto"/>
              <w:rPr>
                <w:rFonts w:ascii="Calibri" w:hAnsi="Calibri" w:cs="Calibri"/>
                <w:bCs/>
                <w:color w:val="000000"/>
                <w:sz w:val="20"/>
                <w:szCs w:val="20"/>
                <w:lang w:eastAsia="en-AU"/>
              </w:rPr>
            </w:pPr>
            <w:r>
              <w:rPr>
                <w:rFonts w:ascii="Calibri" w:hAnsi="Calibri" w:cs="Calibri"/>
                <w:bCs/>
                <w:color w:val="000000"/>
                <w:sz w:val="20"/>
                <w:szCs w:val="20"/>
                <w:lang w:eastAsia="en-AU"/>
              </w:rPr>
              <w:t>F</w:t>
            </w:r>
            <w:r w:rsidR="001A09B7" w:rsidRPr="005952E9">
              <w:rPr>
                <w:rFonts w:ascii="Calibri" w:hAnsi="Calibri" w:cs="Calibri"/>
                <w:bCs/>
                <w:color w:val="000000"/>
                <w:sz w:val="20"/>
                <w:szCs w:val="20"/>
                <w:lang w:eastAsia="en-AU"/>
              </w:rPr>
              <w:t xml:space="preserve">ormal </w:t>
            </w:r>
            <w:r>
              <w:rPr>
                <w:rFonts w:ascii="Calibri" w:hAnsi="Calibri" w:cs="Calibri"/>
                <w:bCs/>
                <w:color w:val="000000"/>
                <w:sz w:val="20"/>
                <w:szCs w:val="20"/>
                <w:lang w:eastAsia="en-AU"/>
              </w:rPr>
              <w:t>Cautions</w:t>
            </w:r>
          </w:p>
        </w:tc>
        <w:tc>
          <w:tcPr>
            <w:tcW w:w="2552" w:type="dxa"/>
            <w:tcBorders>
              <w:top w:val="nil"/>
              <w:left w:val="nil"/>
              <w:bottom w:val="single" w:sz="4" w:space="0" w:color="auto"/>
              <w:right w:val="single" w:sz="4" w:space="0" w:color="auto"/>
            </w:tcBorders>
            <w:shd w:val="clear" w:color="auto" w:fill="auto"/>
            <w:noWrap/>
            <w:vAlign w:val="bottom"/>
          </w:tcPr>
          <w:p w14:paraId="59CA0A25" w14:textId="77777777" w:rsidR="001A09B7" w:rsidRPr="005952E9" w:rsidRDefault="001A09B7" w:rsidP="00EE0E30">
            <w:pPr>
              <w:spacing w:after="0" w:line="240" w:lineRule="auto"/>
              <w:jc w:val="center"/>
              <w:rPr>
                <w:rFonts w:ascii="Calibri" w:hAnsi="Calibri" w:cs="Times New Roman"/>
                <w:color w:val="000000"/>
                <w:sz w:val="20"/>
                <w:szCs w:val="20"/>
                <w:lang w:eastAsia="en-AU"/>
              </w:rPr>
            </w:pPr>
            <w:r w:rsidRPr="005952E9">
              <w:rPr>
                <w:rFonts w:ascii="Calibri" w:eastAsiaTheme="minorHAnsi" w:hAnsi="Calibri" w:cs="Times New Roman"/>
                <w:color w:val="000000"/>
                <w:sz w:val="20"/>
                <w:szCs w:val="20"/>
                <w:lang w:eastAsia="en-AU"/>
              </w:rPr>
              <w:t xml:space="preserve">174 </w:t>
            </w:r>
          </w:p>
        </w:tc>
        <w:tc>
          <w:tcPr>
            <w:tcW w:w="2268" w:type="dxa"/>
            <w:tcBorders>
              <w:top w:val="nil"/>
              <w:left w:val="nil"/>
              <w:bottom w:val="single" w:sz="4" w:space="0" w:color="auto"/>
              <w:right w:val="single" w:sz="4" w:space="0" w:color="auto"/>
            </w:tcBorders>
            <w:shd w:val="clear" w:color="auto" w:fill="auto"/>
            <w:noWrap/>
            <w:vAlign w:val="bottom"/>
          </w:tcPr>
          <w:p w14:paraId="36F41571" w14:textId="77777777" w:rsidR="001A09B7" w:rsidRPr="005952E9" w:rsidRDefault="001A09B7" w:rsidP="00EE0E30">
            <w:pPr>
              <w:spacing w:after="0" w:line="240" w:lineRule="auto"/>
              <w:jc w:val="center"/>
              <w:rPr>
                <w:rFonts w:ascii="Calibri" w:hAnsi="Calibri" w:cs="Times New Roman"/>
                <w:color w:val="000000"/>
                <w:sz w:val="20"/>
                <w:szCs w:val="20"/>
                <w:lang w:eastAsia="en-AU"/>
              </w:rPr>
            </w:pPr>
            <w:r w:rsidRPr="005952E9">
              <w:rPr>
                <w:rFonts w:ascii="Calibri" w:hAnsi="Calibri" w:cs="Times New Roman"/>
                <w:color w:val="000000"/>
                <w:sz w:val="20"/>
                <w:szCs w:val="20"/>
                <w:lang w:eastAsia="en-AU"/>
              </w:rPr>
              <w:t>88</w:t>
            </w:r>
          </w:p>
        </w:tc>
      </w:tr>
      <w:tr w:rsidR="001A09B7" w:rsidRPr="007F1CF3" w14:paraId="210EF7FB" w14:textId="77777777" w:rsidTr="008748E6">
        <w:trPr>
          <w:trHeight w:val="288"/>
          <w:tblHeader/>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658299BD" w14:textId="77777777" w:rsidR="001A09B7" w:rsidRPr="005952E9" w:rsidRDefault="001A09B7" w:rsidP="00EE0E30">
            <w:pPr>
              <w:spacing w:after="0" w:line="240" w:lineRule="auto"/>
              <w:rPr>
                <w:rFonts w:ascii="Calibri" w:hAnsi="Calibri" w:cs="Calibri"/>
                <w:bCs/>
                <w:color w:val="000000"/>
                <w:sz w:val="20"/>
                <w:szCs w:val="20"/>
                <w:lang w:eastAsia="en-AU"/>
              </w:rPr>
            </w:pPr>
            <w:r w:rsidRPr="005952E9">
              <w:rPr>
                <w:rFonts w:ascii="Calibri" w:hAnsi="Calibri" w:cs="Calibri"/>
                <w:bCs/>
                <w:color w:val="000000"/>
                <w:sz w:val="20"/>
                <w:szCs w:val="20"/>
                <w:lang w:eastAsia="en-AU"/>
              </w:rPr>
              <w:t>Infringement Notices</w:t>
            </w:r>
          </w:p>
        </w:tc>
        <w:tc>
          <w:tcPr>
            <w:tcW w:w="2552" w:type="dxa"/>
            <w:tcBorders>
              <w:top w:val="nil"/>
              <w:left w:val="nil"/>
              <w:bottom w:val="single" w:sz="4" w:space="0" w:color="auto"/>
              <w:right w:val="single" w:sz="4" w:space="0" w:color="auto"/>
            </w:tcBorders>
            <w:shd w:val="clear" w:color="auto" w:fill="auto"/>
            <w:noWrap/>
            <w:vAlign w:val="bottom"/>
          </w:tcPr>
          <w:p w14:paraId="5E50D654" w14:textId="77777777" w:rsidR="001A09B7" w:rsidRPr="005952E9" w:rsidRDefault="001A09B7" w:rsidP="00EE0E30">
            <w:pPr>
              <w:spacing w:after="0" w:line="240" w:lineRule="auto"/>
              <w:jc w:val="center"/>
              <w:rPr>
                <w:rFonts w:ascii="Calibri" w:hAnsi="Calibri" w:cs="Times New Roman"/>
                <w:color w:val="000000"/>
                <w:sz w:val="20"/>
                <w:szCs w:val="20"/>
                <w:lang w:eastAsia="en-AU"/>
              </w:rPr>
            </w:pPr>
            <w:r w:rsidRPr="005952E9">
              <w:rPr>
                <w:rFonts w:ascii="Calibri" w:hAnsi="Calibri" w:cs="Times New Roman"/>
                <w:color w:val="000000"/>
                <w:sz w:val="20"/>
                <w:szCs w:val="20"/>
                <w:lang w:eastAsia="en-AU"/>
              </w:rPr>
              <w:t>26</w:t>
            </w:r>
          </w:p>
        </w:tc>
        <w:tc>
          <w:tcPr>
            <w:tcW w:w="2268" w:type="dxa"/>
            <w:tcBorders>
              <w:top w:val="nil"/>
              <w:left w:val="nil"/>
              <w:bottom w:val="single" w:sz="4" w:space="0" w:color="auto"/>
              <w:right w:val="single" w:sz="4" w:space="0" w:color="auto"/>
            </w:tcBorders>
            <w:shd w:val="clear" w:color="auto" w:fill="auto"/>
            <w:noWrap/>
            <w:vAlign w:val="bottom"/>
          </w:tcPr>
          <w:p w14:paraId="5E3B3938" w14:textId="77777777" w:rsidR="001A09B7" w:rsidRPr="005952E9" w:rsidRDefault="001A09B7" w:rsidP="00EE0E30">
            <w:pPr>
              <w:spacing w:after="0" w:line="240" w:lineRule="auto"/>
              <w:jc w:val="center"/>
              <w:rPr>
                <w:rFonts w:ascii="Calibri" w:hAnsi="Calibri" w:cs="Times New Roman"/>
                <w:color w:val="000000"/>
                <w:sz w:val="20"/>
                <w:szCs w:val="20"/>
                <w:lang w:eastAsia="en-AU"/>
              </w:rPr>
            </w:pPr>
            <w:r w:rsidRPr="005952E9">
              <w:rPr>
                <w:rFonts w:ascii="Calibri" w:hAnsi="Calibri" w:cs="Times New Roman"/>
                <w:color w:val="000000"/>
                <w:sz w:val="20"/>
                <w:szCs w:val="20"/>
                <w:lang w:eastAsia="en-AU"/>
              </w:rPr>
              <w:t>56</w:t>
            </w:r>
          </w:p>
        </w:tc>
      </w:tr>
      <w:tr w:rsidR="001A09B7" w:rsidRPr="007F1CF3" w14:paraId="2EF698B0" w14:textId="77777777" w:rsidTr="008748E6">
        <w:trPr>
          <w:trHeight w:val="288"/>
          <w:tblHeader/>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564C1B78" w14:textId="77777777" w:rsidR="001A09B7" w:rsidRPr="005952E9" w:rsidRDefault="001A09B7" w:rsidP="00EE0E30">
            <w:pPr>
              <w:spacing w:after="0" w:line="240" w:lineRule="auto"/>
              <w:rPr>
                <w:rFonts w:ascii="Calibri" w:hAnsi="Calibri" w:cs="Calibri"/>
                <w:bCs/>
                <w:color w:val="000000"/>
                <w:sz w:val="20"/>
                <w:szCs w:val="20"/>
                <w:lang w:eastAsia="en-AU"/>
              </w:rPr>
            </w:pPr>
            <w:r w:rsidRPr="005952E9">
              <w:rPr>
                <w:rFonts w:ascii="Calibri" w:hAnsi="Calibri" w:cs="Calibri"/>
                <w:bCs/>
                <w:color w:val="000000"/>
                <w:sz w:val="20"/>
                <w:szCs w:val="20"/>
                <w:lang w:eastAsia="en-AU"/>
              </w:rPr>
              <w:t>Compliance Notices</w:t>
            </w:r>
          </w:p>
        </w:tc>
        <w:tc>
          <w:tcPr>
            <w:tcW w:w="2552" w:type="dxa"/>
            <w:tcBorders>
              <w:top w:val="nil"/>
              <w:left w:val="nil"/>
              <w:bottom w:val="single" w:sz="4" w:space="0" w:color="auto"/>
              <w:right w:val="single" w:sz="4" w:space="0" w:color="auto"/>
            </w:tcBorders>
            <w:shd w:val="clear" w:color="auto" w:fill="auto"/>
            <w:noWrap/>
            <w:vAlign w:val="bottom"/>
          </w:tcPr>
          <w:p w14:paraId="40C6A8C7" w14:textId="77777777" w:rsidR="001A09B7" w:rsidRPr="005952E9" w:rsidRDefault="001A09B7" w:rsidP="00EE0E30">
            <w:pPr>
              <w:spacing w:after="0" w:line="240" w:lineRule="auto"/>
              <w:jc w:val="center"/>
              <w:rPr>
                <w:rFonts w:ascii="Calibri" w:hAnsi="Calibri" w:cs="Times New Roman"/>
                <w:color w:val="000000"/>
                <w:sz w:val="20"/>
                <w:szCs w:val="20"/>
                <w:lang w:eastAsia="en-AU"/>
              </w:rPr>
            </w:pPr>
            <w:r w:rsidRPr="005952E9">
              <w:rPr>
                <w:rFonts w:ascii="Calibri" w:hAnsi="Calibri" w:cs="Times New Roman"/>
                <w:color w:val="000000"/>
                <w:sz w:val="20"/>
                <w:szCs w:val="20"/>
                <w:lang w:eastAsia="en-AU"/>
              </w:rPr>
              <w:t>1</w:t>
            </w:r>
          </w:p>
        </w:tc>
        <w:tc>
          <w:tcPr>
            <w:tcW w:w="2268" w:type="dxa"/>
            <w:tcBorders>
              <w:top w:val="nil"/>
              <w:left w:val="nil"/>
              <w:bottom w:val="single" w:sz="4" w:space="0" w:color="auto"/>
              <w:right w:val="single" w:sz="4" w:space="0" w:color="auto"/>
            </w:tcBorders>
            <w:shd w:val="clear" w:color="auto" w:fill="auto"/>
            <w:noWrap/>
            <w:vAlign w:val="bottom"/>
          </w:tcPr>
          <w:p w14:paraId="2045C07F" w14:textId="77777777" w:rsidR="001A09B7" w:rsidRPr="005952E9" w:rsidRDefault="001A09B7" w:rsidP="00EE0E30">
            <w:pPr>
              <w:spacing w:after="0" w:line="240" w:lineRule="auto"/>
              <w:jc w:val="center"/>
              <w:rPr>
                <w:rFonts w:ascii="Calibri" w:hAnsi="Calibri" w:cs="Times New Roman"/>
                <w:color w:val="000000"/>
                <w:sz w:val="20"/>
                <w:szCs w:val="20"/>
                <w:lang w:eastAsia="en-AU"/>
              </w:rPr>
            </w:pPr>
            <w:r w:rsidRPr="005952E9">
              <w:rPr>
                <w:rFonts w:ascii="Calibri" w:hAnsi="Calibri" w:cs="Times New Roman"/>
                <w:color w:val="000000"/>
                <w:sz w:val="20"/>
                <w:szCs w:val="20"/>
                <w:lang w:eastAsia="en-AU"/>
              </w:rPr>
              <w:t>16</w:t>
            </w:r>
          </w:p>
        </w:tc>
      </w:tr>
      <w:tr w:rsidR="001A09B7" w:rsidRPr="007F1CF3" w14:paraId="2931D00C" w14:textId="77777777" w:rsidTr="008748E6">
        <w:trPr>
          <w:trHeight w:val="58"/>
          <w:tblHeader/>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454C5587" w14:textId="77777777" w:rsidR="001A09B7" w:rsidRPr="005952E9" w:rsidRDefault="001A09B7" w:rsidP="00EE0E30">
            <w:pPr>
              <w:spacing w:after="0" w:line="240" w:lineRule="auto"/>
              <w:rPr>
                <w:rFonts w:ascii="Calibri" w:hAnsi="Calibri" w:cs="Calibri"/>
                <w:b/>
                <w:bCs/>
                <w:color w:val="000000"/>
                <w:sz w:val="20"/>
                <w:szCs w:val="20"/>
                <w:lang w:eastAsia="en-AU"/>
              </w:rPr>
            </w:pPr>
            <w:r w:rsidRPr="005952E9">
              <w:rPr>
                <w:rFonts w:ascii="Calibri" w:hAnsi="Calibri" w:cs="Calibri"/>
                <w:bCs/>
                <w:color w:val="000000"/>
                <w:sz w:val="20"/>
                <w:szCs w:val="20"/>
                <w:lang w:eastAsia="en-AU"/>
              </w:rPr>
              <w:t>Enforceable Undertakings</w:t>
            </w:r>
          </w:p>
        </w:tc>
        <w:tc>
          <w:tcPr>
            <w:tcW w:w="2552" w:type="dxa"/>
            <w:tcBorders>
              <w:top w:val="nil"/>
              <w:left w:val="nil"/>
              <w:bottom w:val="single" w:sz="4" w:space="0" w:color="auto"/>
              <w:right w:val="single" w:sz="4" w:space="0" w:color="auto"/>
            </w:tcBorders>
            <w:shd w:val="clear" w:color="auto" w:fill="auto"/>
            <w:noWrap/>
            <w:vAlign w:val="bottom"/>
          </w:tcPr>
          <w:p w14:paraId="1C7A01B9" w14:textId="51872173" w:rsidR="001A09B7" w:rsidRPr="005952E9" w:rsidRDefault="005952E9" w:rsidP="00EE0E30">
            <w:pPr>
              <w:spacing w:after="0" w:line="240" w:lineRule="auto"/>
              <w:jc w:val="center"/>
              <w:rPr>
                <w:rFonts w:ascii="Calibri" w:hAnsi="Calibri" w:cs="Times New Roman"/>
                <w:color w:val="000000"/>
                <w:sz w:val="20"/>
                <w:szCs w:val="20"/>
                <w:lang w:eastAsia="en-AU"/>
              </w:rPr>
            </w:pPr>
            <w:r w:rsidRPr="005952E9">
              <w:rPr>
                <w:rFonts w:ascii="Calibri" w:hAnsi="Calibri" w:cs="Times New Roman"/>
                <w:color w:val="000000"/>
                <w:sz w:val="20"/>
                <w:szCs w:val="20"/>
                <w:lang w:eastAsia="en-AU"/>
              </w:rPr>
              <w:t>-</w:t>
            </w:r>
          </w:p>
        </w:tc>
        <w:tc>
          <w:tcPr>
            <w:tcW w:w="2268" w:type="dxa"/>
            <w:tcBorders>
              <w:top w:val="nil"/>
              <w:left w:val="nil"/>
              <w:bottom w:val="single" w:sz="4" w:space="0" w:color="auto"/>
              <w:right w:val="single" w:sz="4" w:space="0" w:color="auto"/>
            </w:tcBorders>
            <w:shd w:val="clear" w:color="auto" w:fill="auto"/>
            <w:noWrap/>
            <w:vAlign w:val="bottom"/>
          </w:tcPr>
          <w:p w14:paraId="0FA0DC58" w14:textId="77777777" w:rsidR="001A09B7" w:rsidRPr="005952E9" w:rsidRDefault="001A09B7" w:rsidP="00EE0E30">
            <w:pPr>
              <w:spacing w:after="0" w:line="240" w:lineRule="auto"/>
              <w:jc w:val="center"/>
              <w:rPr>
                <w:rFonts w:ascii="Calibri" w:hAnsi="Calibri" w:cs="Times New Roman"/>
                <w:color w:val="000000"/>
                <w:sz w:val="20"/>
                <w:szCs w:val="20"/>
                <w:lang w:eastAsia="en-AU"/>
              </w:rPr>
            </w:pPr>
            <w:r w:rsidRPr="005952E9">
              <w:rPr>
                <w:rFonts w:ascii="Calibri" w:hAnsi="Calibri" w:cs="Times New Roman"/>
                <w:color w:val="000000"/>
                <w:sz w:val="20"/>
                <w:szCs w:val="20"/>
                <w:lang w:eastAsia="en-AU"/>
              </w:rPr>
              <w:t>1</w:t>
            </w:r>
          </w:p>
        </w:tc>
      </w:tr>
      <w:tr w:rsidR="001A09B7" w:rsidRPr="007F1CF3" w14:paraId="58BF2397" w14:textId="77777777" w:rsidTr="008748E6">
        <w:trPr>
          <w:trHeight w:val="288"/>
          <w:tblHeader/>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7707190C" w14:textId="77777777" w:rsidR="001A09B7" w:rsidRPr="005952E9" w:rsidRDefault="001A09B7" w:rsidP="00EE0E30">
            <w:pPr>
              <w:spacing w:after="0" w:line="240" w:lineRule="auto"/>
              <w:rPr>
                <w:rFonts w:ascii="Calibri" w:hAnsi="Calibri" w:cs="Times New Roman"/>
                <w:color w:val="000000"/>
                <w:sz w:val="20"/>
                <w:szCs w:val="20"/>
                <w:lang w:eastAsia="en-AU"/>
              </w:rPr>
            </w:pPr>
            <w:r w:rsidRPr="005952E9">
              <w:rPr>
                <w:rFonts w:ascii="Calibri" w:hAnsi="Calibri" w:cs="Times New Roman"/>
                <w:color w:val="000000"/>
                <w:sz w:val="20"/>
                <w:szCs w:val="20"/>
                <w:lang w:eastAsia="en-AU"/>
              </w:rPr>
              <w:t>Litigations</w:t>
            </w:r>
          </w:p>
        </w:tc>
        <w:tc>
          <w:tcPr>
            <w:tcW w:w="2552" w:type="dxa"/>
            <w:tcBorders>
              <w:top w:val="nil"/>
              <w:left w:val="nil"/>
              <w:bottom w:val="single" w:sz="4" w:space="0" w:color="auto"/>
              <w:right w:val="single" w:sz="4" w:space="0" w:color="auto"/>
            </w:tcBorders>
            <w:shd w:val="clear" w:color="auto" w:fill="auto"/>
            <w:noWrap/>
            <w:vAlign w:val="bottom"/>
          </w:tcPr>
          <w:p w14:paraId="6658E681" w14:textId="6BC8594D" w:rsidR="001A09B7" w:rsidRPr="005952E9" w:rsidRDefault="005952E9" w:rsidP="00EE0E30">
            <w:pPr>
              <w:spacing w:after="0" w:line="240" w:lineRule="auto"/>
              <w:jc w:val="center"/>
              <w:rPr>
                <w:rFonts w:ascii="Calibri" w:hAnsi="Calibri" w:cs="Times New Roman"/>
                <w:color w:val="000000"/>
                <w:sz w:val="20"/>
                <w:szCs w:val="20"/>
                <w:lang w:eastAsia="en-AU"/>
              </w:rPr>
            </w:pPr>
            <w:r w:rsidRPr="005952E9">
              <w:rPr>
                <w:rFonts w:ascii="Calibri" w:hAnsi="Calibri" w:cs="Times New Roman"/>
                <w:color w:val="000000"/>
                <w:sz w:val="20"/>
                <w:szCs w:val="20"/>
                <w:lang w:eastAsia="en-AU"/>
              </w:rPr>
              <w:t>-</w:t>
            </w:r>
          </w:p>
        </w:tc>
        <w:tc>
          <w:tcPr>
            <w:tcW w:w="2268" w:type="dxa"/>
            <w:tcBorders>
              <w:top w:val="nil"/>
              <w:left w:val="nil"/>
              <w:bottom w:val="single" w:sz="4" w:space="0" w:color="auto"/>
              <w:right w:val="single" w:sz="4" w:space="0" w:color="auto"/>
            </w:tcBorders>
            <w:shd w:val="clear" w:color="auto" w:fill="auto"/>
            <w:noWrap/>
            <w:vAlign w:val="bottom"/>
          </w:tcPr>
          <w:p w14:paraId="7B8FDA85" w14:textId="77777777" w:rsidR="001A09B7" w:rsidRPr="005952E9" w:rsidRDefault="001A09B7" w:rsidP="00EE0E30">
            <w:pPr>
              <w:spacing w:after="0" w:line="240" w:lineRule="auto"/>
              <w:jc w:val="center"/>
              <w:rPr>
                <w:rFonts w:ascii="Calibri" w:hAnsi="Calibri" w:cs="Times New Roman"/>
                <w:color w:val="000000"/>
                <w:sz w:val="20"/>
                <w:szCs w:val="20"/>
                <w:lang w:eastAsia="en-AU"/>
              </w:rPr>
            </w:pPr>
            <w:r w:rsidRPr="005952E9">
              <w:rPr>
                <w:rFonts w:ascii="Calibri" w:hAnsi="Calibri" w:cs="Times New Roman"/>
                <w:color w:val="000000"/>
                <w:sz w:val="20"/>
                <w:szCs w:val="20"/>
                <w:lang w:eastAsia="en-AU"/>
              </w:rPr>
              <w:t>2</w:t>
            </w:r>
          </w:p>
        </w:tc>
      </w:tr>
      <w:tr w:rsidR="001A09B7" w:rsidRPr="007F1CF3" w14:paraId="5555DC68" w14:textId="77777777" w:rsidTr="008748E6">
        <w:trPr>
          <w:trHeight w:val="288"/>
          <w:tblHeader/>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37C53AB0" w14:textId="77777777" w:rsidR="001A09B7" w:rsidRPr="005952E9" w:rsidRDefault="001A09B7" w:rsidP="00EE0E30">
            <w:pPr>
              <w:spacing w:after="0" w:line="240" w:lineRule="auto"/>
              <w:rPr>
                <w:rFonts w:ascii="Calibri" w:hAnsi="Calibri" w:cs="Times New Roman"/>
                <w:color w:val="000000"/>
                <w:sz w:val="20"/>
                <w:szCs w:val="20"/>
                <w:lang w:eastAsia="en-AU"/>
              </w:rPr>
            </w:pPr>
            <w:r w:rsidRPr="005952E9">
              <w:rPr>
                <w:rFonts w:ascii="Calibri" w:hAnsi="Calibri" w:cs="Calibri"/>
                <w:bCs/>
                <w:color w:val="000000"/>
                <w:sz w:val="20"/>
                <w:szCs w:val="20"/>
                <w:lang w:eastAsia="en-AU"/>
              </w:rPr>
              <w:t>Proactive Compliance Deeds (Compliance Partnership)</w:t>
            </w:r>
          </w:p>
        </w:tc>
        <w:tc>
          <w:tcPr>
            <w:tcW w:w="2552" w:type="dxa"/>
            <w:tcBorders>
              <w:top w:val="nil"/>
              <w:left w:val="nil"/>
              <w:bottom w:val="single" w:sz="4" w:space="0" w:color="auto"/>
              <w:right w:val="single" w:sz="4" w:space="0" w:color="auto"/>
            </w:tcBorders>
            <w:shd w:val="clear" w:color="auto" w:fill="auto"/>
            <w:noWrap/>
            <w:vAlign w:val="bottom"/>
          </w:tcPr>
          <w:p w14:paraId="24693BD2" w14:textId="3A697849" w:rsidR="001A09B7" w:rsidRPr="005952E9" w:rsidRDefault="005952E9" w:rsidP="00EE0E30">
            <w:pPr>
              <w:spacing w:after="0" w:line="240" w:lineRule="auto"/>
              <w:jc w:val="center"/>
              <w:rPr>
                <w:rFonts w:ascii="Calibri" w:hAnsi="Calibri" w:cs="Times New Roman"/>
                <w:color w:val="000000"/>
                <w:sz w:val="20"/>
                <w:szCs w:val="20"/>
                <w:lang w:eastAsia="en-AU"/>
              </w:rPr>
            </w:pPr>
            <w:r w:rsidRPr="005952E9">
              <w:rPr>
                <w:rFonts w:ascii="Calibri" w:hAnsi="Calibri" w:cs="Times New Roman"/>
                <w:color w:val="000000"/>
                <w:sz w:val="20"/>
                <w:szCs w:val="20"/>
                <w:lang w:eastAsia="en-AU"/>
              </w:rPr>
              <w:t>-</w:t>
            </w:r>
          </w:p>
        </w:tc>
        <w:tc>
          <w:tcPr>
            <w:tcW w:w="2268" w:type="dxa"/>
            <w:tcBorders>
              <w:top w:val="nil"/>
              <w:left w:val="nil"/>
              <w:bottom w:val="single" w:sz="4" w:space="0" w:color="auto"/>
              <w:right w:val="single" w:sz="4" w:space="0" w:color="auto"/>
            </w:tcBorders>
            <w:shd w:val="clear" w:color="auto" w:fill="auto"/>
            <w:noWrap/>
            <w:vAlign w:val="bottom"/>
          </w:tcPr>
          <w:p w14:paraId="74289E82" w14:textId="77777777" w:rsidR="001A09B7" w:rsidRPr="005952E9" w:rsidRDefault="001A09B7" w:rsidP="00EE0E30">
            <w:pPr>
              <w:spacing w:after="0" w:line="240" w:lineRule="auto"/>
              <w:jc w:val="center"/>
              <w:rPr>
                <w:rFonts w:ascii="Calibri" w:hAnsi="Calibri" w:cs="Times New Roman"/>
                <w:color w:val="000000"/>
                <w:sz w:val="20"/>
                <w:szCs w:val="20"/>
                <w:lang w:eastAsia="en-AU"/>
              </w:rPr>
            </w:pPr>
            <w:r w:rsidRPr="005952E9">
              <w:rPr>
                <w:rFonts w:ascii="Calibri" w:hAnsi="Calibri" w:cs="Times New Roman"/>
                <w:color w:val="000000"/>
                <w:sz w:val="20"/>
                <w:szCs w:val="20"/>
                <w:lang w:eastAsia="en-AU"/>
              </w:rPr>
              <w:t>1</w:t>
            </w:r>
          </w:p>
        </w:tc>
      </w:tr>
      <w:tr w:rsidR="001A09B7" w:rsidRPr="007F1CF3" w14:paraId="51CC3DC7" w14:textId="77777777" w:rsidTr="008748E6">
        <w:trPr>
          <w:trHeight w:val="288"/>
          <w:tblHeader/>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59F5734C" w14:textId="77777777" w:rsidR="001A09B7" w:rsidRPr="005952E9" w:rsidRDefault="001A09B7" w:rsidP="00EE0E30">
            <w:pPr>
              <w:spacing w:after="0" w:line="240" w:lineRule="auto"/>
              <w:rPr>
                <w:rFonts w:ascii="Calibri" w:hAnsi="Calibri" w:cs="Calibri"/>
                <w:bCs/>
                <w:color w:val="000000"/>
                <w:sz w:val="20"/>
                <w:szCs w:val="20"/>
                <w:lang w:eastAsia="en-AU"/>
              </w:rPr>
            </w:pPr>
            <w:r w:rsidRPr="005952E9">
              <w:rPr>
                <w:rFonts w:ascii="Calibri" w:hAnsi="Calibri" w:cs="Calibri"/>
                <w:bCs/>
                <w:color w:val="000000"/>
                <w:sz w:val="20"/>
                <w:szCs w:val="20"/>
                <w:lang w:eastAsia="en-AU"/>
              </w:rPr>
              <w:t>Overall employer non-compliance rate</w:t>
            </w:r>
          </w:p>
        </w:tc>
        <w:tc>
          <w:tcPr>
            <w:tcW w:w="2552" w:type="dxa"/>
            <w:tcBorders>
              <w:top w:val="nil"/>
              <w:left w:val="nil"/>
              <w:bottom w:val="single" w:sz="4" w:space="0" w:color="auto"/>
              <w:right w:val="single" w:sz="4" w:space="0" w:color="auto"/>
            </w:tcBorders>
            <w:shd w:val="clear" w:color="auto" w:fill="auto"/>
            <w:noWrap/>
            <w:vAlign w:val="center"/>
          </w:tcPr>
          <w:p w14:paraId="38550B91" w14:textId="77777777" w:rsidR="001A09B7" w:rsidRPr="005952E9" w:rsidRDefault="001A09B7" w:rsidP="00EE0E30">
            <w:pPr>
              <w:spacing w:after="0" w:line="240" w:lineRule="auto"/>
              <w:jc w:val="center"/>
              <w:rPr>
                <w:rFonts w:ascii="Calibri" w:hAnsi="Calibri" w:cs="Times New Roman"/>
                <w:color w:val="000000"/>
                <w:sz w:val="20"/>
                <w:szCs w:val="20"/>
                <w:lang w:eastAsia="en-AU"/>
              </w:rPr>
            </w:pPr>
            <w:r w:rsidRPr="005952E9">
              <w:rPr>
                <w:rFonts w:ascii="Calibri" w:hAnsi="Calibri" w:cs="Times New Roman"/>
                <w:color w:val="000000"/>
                <w:sz w:val="20"/>
                <w:szCs w:val="20"/>
                <w:lang w:eastAsia="en-AU"/>
              </w:rPr>
              <w:t xml:space="preserve">31% </w:t>
            </w:r>
          </w:p>
        </w:tc>
        <w:tc>
          <w:tcPr>
            <w:tcW w:w="2268" w:type="dxa"/>
            <w:tcBorders>
              <w:top w:val="nil"/>
              <w:left w:val="nil"/>
              <w:bottom w:val="single" w:sz="4" w:space="0" w:color="auto"/>
              <w:right w:val="single" w:sz="4" w:space="0" w:color="auto"/>
            </w:tcBorders>
            <w:shd w:val="clear" w:color="auto" w:fill="auto"/>
            <w:noWrap/>
            <w:vAlign w:val="center"/>
          </w:tcPr>
          <w:p w14:paraId="31A9952A" w14:textId="77777777" w:rsidR="001A09B7" w:rsidRPr="005952E9" w:rsidRDefault="001A09B7" w:rsidP="00EE0E30">
            <w:pPr>
              <w:spacing w:after="0" w:line="240" w:lineRule="auto"/>
              <w:jc w:val="center"/>
              <w:rPr>
                <w:rFonts w:ascii="Calibri" w:hAnsi="Calibri" w:cs="Times New Roman"/>
                <w:color w:val="000000"/>
                <w:sz w:val="20"/>
                <w:szCs w:val="20"/>
                <w:lang w:eastAsia="en-AU"/>
              </w:rPr>
            </w:pPr>
            <w:r w:rsidRPr="005952E9">
              <w:rPr>
                <w:rFonts w:ascii="Calibri" w:hAnsi="Calibri" w:cs="Times New Roman"/>
                <w:color w:val="000000"/>
                <w:sz w:val="20"/>
                <w:szCs w:val="20"/>
                <w:lang w:eastAsia="en-AU"/>
              </w:rPr>
              <w:t>38%</w:t>
            </w:r>
          </w:p>
        </w:tc>
      </w:tr>
      <w:tr w:rsidR="001A09B7" w:rsidRPr="007F1CF3" w14:paraId="349A3389" w14:textId="77777777" w:rsidTr="008748E6">
        <w:trPr>
          <w:trHeight w:val="288"/>
          <w:tblHeader/>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236AED1C" w14:textId="77777777" w:rsidR="001A09B7" w:rsidRPr="005952E9" w:rsidRDefault="001A09B7" w:rsidP="00EE0E30">
            <w:pPr>
              <w:spacing w:after="0" w:line="240" w:lineRule="auto"/>
              <w:rPr>
                <w:rFonts w:ascii="Calibri" w:hAnsi="Calibri" w:cs="Times New Roman"/>
                <w:color w:val="000000"/>
                <w:sz w:val="20"/>
                <w:szCs w:val="20"/>
                <w:lang w:eastAsia="en-AU"/>
              </w:rPr>
            </w:pPr>
            <w:r w:rsidRPr="005952E9">
              <w:rPr>
                <w:rFonts w:ascii="Calibri" w:hAnsi="Calibri" w:cs="Times New Roman"/>
                <w:color w:val="000000"/>
                <w:sz w:val="20"/>
                <w:szCs w:val="20"/>
                <w:lang w:eastAsia="en-AU"/>
              </w:rPr>
              <w:t>Percentage of non-compliant employers</w:t>
            </w:r>
          </w:p>
          <w:p w14:paraId="581721A3" w14:textId="77777777" w:rsidR="001A09B7" w:rsidRPr="005952E9" w:rsidRDefault="001A09B7" w:rsidP="00EE0E30">
            <w:pPr>
              <w:spacing w:after="0" w:line="240" w:lineRule="auto"/>
              <w:rPr>
                <w:rFonts w:ascii="Calibri" w:hAnsi="Calibri" w:cs="Times New Roman"/>
                <w:color w:val="000000"/>
                <w:sz w:val="20"/>
                <w:szCs w:val="20"/>
                <w:lang w:eastAsia="en-AU"/>
              </w:rPr>
            </w:pPr>
            <w:r w:rsidRPr="005952E9">
              <w:rPr>
                <w:rFonts w:ascii="Calibri" w:hAnsi="Calibri" w:cs="Times New Roman"/>
                <w:color w:val="000000"/>
                <w:sz w:val="20"/>
                <w:szCs w:val="20"/>
                <w:lang w:eastAsia="en-AU"/>
              </w:rPr>
              <w:t>subject to compliance and enforcement tools</w:t>
            </w:r>
          </w:p>
        </w:tc>
        <w:tc>
          <w:tcPr>
            <w:tcW w:w="2552" w:type="dxa"/>
            <w:tcBorders>
              <w:top w:val="nil"/>
              <w:left w:val="nil"/>
              <w:bottom w:val="single" w:sz="4" w:space="0" w:color="auto"/>
              <w:right w:val="single" w:sz="4" w:space="0" w:color="auto"/>
            </w:tcBorders>
            <w:shd w:val="clear" w:color="auto" w:fill="auto"/>
            <w:noWrap/>
            <w:vAlign w:val="bottom"/>
          </w:tcPr>
          <w:p w14:paraId="0A725B96" w14:textId="77777777" w:rsidR="001A09B7" w:rsidRPr="005952E9" w:rsidRDefault="001A09B7" w:rsidP="00EE0E30">
            <w:pPr>
              <w:spacing w:before="100" w:beforeAutospacing="1" w:after="0" w:line="480" w:lineRule="auto"/>
              <w:jc w:val="center"/>
              <w:rPr>
                <w:rFonts w:ascii="Calibri" w:hAnsi="Calibri" w:cs="Times New Roman"/>
                <w:color w:val="000000"/>
                <w:sz w:val="20"/>
                <w:szCs w:val="20"/>
                <w:lang w:eastAsia="en-AU"/>
              </w:rPr>
            </w:pPr>
            <w:r w:rsidRPr="005952E9">
              <w:rPr>
                <w:rFonts w:ascii="Calibri" w:hAnsi="Calibri" w:cs="Times New Roman"/>
                <w:color w:val="000000"/>
                <w:sz w:val="20"/>
                <w:szCs w:val="20"/>
                <w:lang w:eastAsia="en-AU"/>
              </w:rPr>
              <w:t>71%</w:t>
            </w:r>
          </w:p>
        </w:tc>
        <w:tc>
          <w:tcPr>
            <w:tcW w:w="2268" w:type="dxa"/>
            <w:tcBorders>
              <w:top w:val="nil"/>
              <w:left w:val="nil"/>
              <w:bottom w:val="single" w:sz="4" w:space="0" w:color="auto"/>
              <w:right w:val="single" w:sz="4" w:space="0" w:color="auto"/>
            </w:tcBorders>
            <w:shd w:val="clear" w:color="auto" w:fill="auto"/>
            <w:noWrap/>
            <w:vAlign w:val="bottom"/>
          </w:tcPr>
          <w:p w14:paraId="60303626" w14:textId="77777777" w:rsidR="001A09B7" w:rsidRPr="005952E9" w:rsidRDefault="001A09B7" w:rsidP="00EE0E30">
            <w:pPr>
              <w:spacing w:before="100" w:beforeAutospacing="1" w:after="0" w:line="480" w:lineRule="auto"/>
              <w:jc w:val="center"/>
              <w:rPr>
                <w:rFonts w:ascii="Calibri" w:hAnsi="Calibri" w:cs="Times New Roman"/>
                <w:color w:val="000000"/>
                <w:sz w:val="20"/>
                <w:szCs w:val="20"/>
                <w:lang w:eastAsia="en-AU"/>
              </w:rPr>
            </w:pPr>
            <w:r w:rsidRPr="005952E9">
              <w:rPr>
                <w:rFonts w:ascii="Calibri" w:hAnsi="Calibri" w:cs="Times New Roman"/>
                <w:color w:val="000000"/>
                <w:sz w:val="20"/>
                <w:szCs w:val="20"/>
                <w:lang w:eastAsia="en-AU"/>
              </w:rPr>
              <w:t>82%</w:t>
            </w:r>
          </w:p>
        </w:tc>
      </w:tr>
    </w:tbl>
    <w:p w14:paraId="477DCCCF" w14:textId="5A02F57E" w:rsidR="0017428F" w:rsidRPr="008748E6" w:rsidRDefault="001A09B7" w:rsidP="0055136D">
      <w:pPr>
        <w:spacing w:before="240"/>
        <w:textAlignment w:val="center"/>
        <w:rPr>
          <w:rFonts w:cs="Helvetica"/>
          <w:szCs w:val="22"/>
        </w:rPr>
      </w:pPr>
      <w:r>
        <w:rPr>
          <w:rFonts w:cs="Helvetica"/>
          <w:szCs w:val="22"/>
        </w:rPr>
        <w:t xml:space="preserve">Case studies explaining the </w:t>
      </w:r>
      <w:r w:rsidR="005C08CF">
        <w:rPr>
          <w:rFonts w:cs="Helvetica"/>
          <w:szCs w:val="22"/>
        </w:rPr>
        <w:t xml:space="preserve">use </w:t>
      </w:r>
      <w:r w:rsidR="00234F96">
        <w:rPr>
          <w:rFonts w:cs="Helvetica"/>
          <w:szCs w:val="22"/>
        </w:rPr>
        <w:t xml:space="preserve">of </w:t>
      </w:r>
      <w:r w:rsidR="005C08CF">
        <w:rPr>
          <w:rFonts w:cs="Helvetica"/>
          <w:szCs w:val="22"/>
        </w:rPr>
        <w:t xml:space="preserve">FWO’s </w:t>
      </w:r>
      <w:r>
        <w:rPr>
          <w:rFonts w:cs="Helvetica"/>
          <w:szCs w:val="22"/>
        </w:rPr>
        <w:t>compliance and enforcement</w:t>
      </w:r>
      <w:r w:rsidR="00E343C3">
        <w:rPr>
          <w:rFonts w:cs="Helvetica"/>
          <w:szCs w:val="22"/>
        </w:rPr>
        <w:t xml:space="preserve"> </w:t>
      </w:r>
      <w:r w:rsidR="005C08CF">
        <w:rPr>
          <w:rFonts w:cs="Helvetica"/>
          <w:szCs w:val="22"/>
        </w:rPr>
        <w:t>response</w:t>
      </w:r>
      <w:r w:rsidR="00EE524C">
        <w:rPr>
          <w:rFonts w:cs="Helvetica"/>
          <w:szCs w:val="22"/>
        </w:rPr>
        <w:t>s</w:t>
      </w:r>
      <w:r w:rsidR="005C08CF">
        <w:rPr>
          <w:rFonts w:cs="Helvetica"/>
          <w:szCs w:val="22"/>
        </w:rPr>
        <w:t xml:space="preserve"> i</w:t>
      </w:r>
      <w:r w:rsidR="00E343C3">
        <w:rPr>
          <w:rFonts w:cs="Helvetica"/>
          <w:szCs w:val="22"/>
        </w:rPr>
        <w:t xml:space="preserve">n the National Compliance Monitoring Campaign 2016-2017 </w:t>
      </w:r>
      <w:r w:rsidR="00851BAF">
        <w:rPr>
          <w:rFonts w:cs="Helvetica"/>
          <w:szCs w:val="22"/>
        </w:rPr>
        <w:t>are outlined</w:t>
      </w:r>
      <w:r w:rsidR="00E343C3">
        <w:rPr>
          <w:rFonts w:cs="Helvetica"/>
          <w:szCs w:val="22"/>
        </w:rPr>
        <w:t xml:space="preserve"> below.</w:t>
      </w:r>
      <w:r>
        <w:rPr>
          <w:rFonts w:cs="Helvetica"/>
          <w:szCs w:val="22"/>
        </w:rPr>
        <w:t xml:space="preserve"> </w:t>
      </w:r>
      <w:bookmarkStart w:id="52" w:name="_Toc527447238"/>
    </w:p>
    <w:p w14:paraId="4B334454" w14:textId="2E545218" w:rsidR="008F49EC" w:rsidRDefault="008F49EC">
      <w:pPr>
        <w:spacing w:after="0" w:line="240" w:lineRule="auto"/>
      </w:pPr>
      <w:r>
        <w:br w:type="page"/>
      </w:r>
    </w:p>
    <w:p w14:paraId="10114E97" w14:textId="797B57C5" w:rsidR="00E343C3" w:rsidRPr="00855722" w:rsidRDefault="00E343C3" w:rsidP="00855722">
      <w:pPr>
        <w:pStyle w:val="Heading1"/>
      </w:pPr>
      <w:bookmarkStart w:id="53" w:name="_Toc528058399"/>
      <w:bookmarkStart w:id="54" w:name="_Toc528060225"/>
      <w:bookmarkStart w:id="55" w:name="_Toc529352622"/>
      <w:r w:rsidRPr="00855722">
        <w:lastRenderedPageBreak/>
        <w:t>Case studies</w:t>
      </w:r>
      <w:bookmarkEnd w:id="52"/>
      <w:bookmarkEnd w:id="53"/>
      <w:bookmarkEnd w:id="54"/>
      <w:bookmarkEnd w:id="55"/>
      <w:r w:rsidRPr="00855722">
        <w:t xml:space="preserve"> </w:t>
      </w:r>
    </w:p>
    <w:p w14:paraId="549412B8" w14:textId="77777777" w:rsidR="00913914" w:rsidRPr="001E6ED3" w:rsidRDefault="00913914" w:rsidP="0055136D">
      <w:pPr>
        <w:pStyle w:val="Heading2"/>
      </w:pPr>
      <w:bookmarkStart w:id="56" w:name="_Toc527447239"/>
      <w:bookmarkStart w:id="57" w:name="_Toc528058400"/>
      <w:bookmarkStart w:id="58" w:name="_Toc528060226"/>
      <w:bookmarkStart w:id="59" w:name="_Toc529352623"/>
      <w:bookmarkStart w:id="60" w:name="_Toc520457113"/>
      <w:bookmarkStart w:id="61" w:name="_Toc526855136"/>
      <w:r>
        <w:t>Formal</w:t>
      </w:r>
      <w:r w:rsidRPr="001E6ED3">
        <w:t xml:space="preserve"> </w:t>
      </w:r>
      <w:r>
        <w:t>C</w:t>
      </w:r>
      <w:r w:rsidRPr="001E6ED3">
        <w:t>aution</w:t>
      </w:r>
      <w:bookmarkEnd w:id="56"/>
      <w:bookmarkEnd w:id="57"/>
      <w:bookmarkEnd w:id="58"/>
      <w:bookmarkEnd w:id="59"/>
      <w:r w:rsidRPr="001E6ED3">
        <w:t xml:space="preserve"> </w:t>
      </w:r>
    </w:p>
    <w:p w14:paraId="4F9F1241" w14:textId="1A771B5C" w:rsidR="00913914" w:rsidRDefault="00913914" w:rsidP="00374555">
      <w:pPr>
        <w:jc w:val="both"/>
        <w:rPr>
          <w:rFonts w:eastAsiaTheme="minorHAnsi" w:cs="Times New Roman"/>
          <w:szCs w:val="20"/>
        </w:rPr>
      </w:pPr>
      <w:r>
        <w:rPr>
          <w:rFonts w:eastAsiaTheme="minorHAnsi" w:cs="Times New Roman"/>
          <w:szCs w:val="20"/>
        </w:rPr>
        <w:t>Fair Work Inspectors issue Formal C</w:t>
      </w:r>
      <w:r w:rsidRPr="004F7FC6">
        <w:rPr>
          <w:rFonts w:eastAsiaTheme="minorHAnsi" w:cs="Times New Roman"/>
          <w:szCs w:val="20"/>
        </w:rPr>
        <w:t xml:space="preserve">autions </w:t>
      </w:r>
      <w:r>
        <w:rPr>
          <w:rFonts w:eastAsiaTheme="minorHAnsi" w:cs="Times New Roman"/>
          <w:szCs w:val="20"/>
        </w:rPr>
        <w:t>to put an employer on notice that future breaches</w:t>
      </w:r>
      <w:r w:rsidRPr="004F7FC6">
        <w:rPr>
          <w:rFonts w:eastAsiaTheme="minorHAnsi" w:cs="Times New Roman"/>
          <w:szCs w:val="20"/>
        </w:rPr>
        <w:t xml:space="preserve"> </w:t>
      </w:r>
      <w:r>
        <w:rPr>
          <w:rFonts w:eastAsiaTheme="minorHAnsi" w:cs="Times New Roman"/>
          <w:szCs w:val="20"/>
        </w:rPr>
        <w:t xml:space="preserve">might result in the FWO seeking </w:t>
      </w:r>
      <w:r w:rsidR="00374555">
        <w:rPr>
          <w:rFonts w:eastAsiaTheme="minorHAnsi" w:cs="Times New Roman"/>
          <w:szCs w:val="20"/>
        </w:rPr>
        <w:t>the imposition of</w:t>
      </w:r>
      <w:r>
        <w:rPr>
          <w:rFonts w:eastAsiaTheme="minorHAnsi" w:cs="Times New Roman"/>
          <w:szCs w:val="20"/>
        </w:rPr>
        <w:t xml:space="preserve"> financial penalties</w:t>
      </w:r>
      <w:r w:rsidR="00374555">
        <w:rPr>
          <w:rFonts w:eastAsiaTheme="minorHAnsi" w:cs="Times New Roman"/>
          <w:szCs w:val="20"/>
        </w:rPr>
        <w:t xml:space="preserve"> through legal proceedings</w:t>
      </w:r>
      <w:r>
        <w:rPr>
          <w:rFonts w:eastAsiaTheme="minorHAnsi" w:cs="Times New Roman"/>
          <w:szCs w:val="20"/>
        </w:rPr>
        <w:t xml:space="preserve">. </w:t>
      </w:r>
    </w:p>
    <w:p w14:paraId="248C39A8" w14:textId="75A3F0F1" w:rsidR="00913914" w:rsidRPr="00A81BF4" w:rsidRDefault="00D83E3C" w:rsidP="00913914">
      <w:pPr>
        <w:pStyle w:val="Calloutbox1"/>
      </w:pPr>
      <w:r>
        <w:t>Formal C</w:t>
      </w:r>
      <w:r w:rsidR="00913914">
        <w:t>aution: repeated underpayments of Award entitlements</w:t>
      </w:r>
    </w:p>
    <w:p w14:paraId="328CA70B" w14:textId="36798BF2" w:rsidR="00913914" w:rsidRPr="00924596" w:rsidRDefault="00913914" w:rsidP="00913914">
      <w:pPr>
        <w:pStyle w:val="Calloutbox1"/>
        <w:rPr>
          <w:b w:val="0"/>
        </w:rPr>
      </w:pPr>
      <w:r w:rsidRPr="00924596">
        <w:rPr>
          <w:b w:val="0"/>
        </w:rPr>
        <w:t>Fair Work Inspectors re-audited a food retail business previously found to have underpaid employees</w:t>
      </w:r>
      <w:r w:rsidR="000E750D">
        <w:rPr>
          <w:b w:val="0"/>
        </w:rPr>
        <w:t xml:space="preserve"> and not provided </w:t>
      </w:r>
      <w:r w:rsidRPr="00924596">
        <w:rPr>
          <w:b w:val="0"/>
        </w:rPr>
        <w:t xml:space="preserve">pay slips. </w:t>
      </w:r>
      <w:r w:rsidR="000E750D">
        <w:rPr>
          <w:b w:val="0"/>
        </w:rPr>
        <w:t xml:space="preserve">The FWO </w:t>
      </w:r>
      <w:r w:rsidR="000E750D" w:rsidRPr="00924596">
        <w:rPr>
          <w:b w:val="0"/>
        </w:rPr>
        <w:t>provided information to help the employer comply with all monetary and pay slip obligations</w:t>
      </w:r>
      <w:r w:rsidRPr="00924596">
        <w:rPr>
          <w:b w:val="0"/>
        </w:rPr>
        <w:t xml:space="preserve">. </w:t>
      </w:r>
    </w:p>
    <w:p w14:paraId="58F10FA3" w14:textId="7942AD67" w:rsidR="00913914" w:rsidRPr="00924596" w:rsidRDefault="00913914" w:rsidP="00913914">
      <w:pPr>
        <w:pStyle w:val="Calloutbox1"/>
        <w:rPr>
          <w:b w:val="0"/>
        </w:rPr>
      </w:pPr>
      <w:r w:rsidRPr="00924596">
        <w:rPr>
          <w:b w:val="0"/>
        </w:rPr>
        <w:t>Returning to the business, Inspectors</w:t>
      </w:r>
      <w:r w:rsidRPr="00924596" w:rsidDel="009C0F2A">
        <w:rPr>
          <w:b w:val="0"/>
        </w:rPr>
        <w:t xml:space="preserve"> </w:t>
      </w:r>
      <w:r w:rsidRPr="00924596">
        <w:rPr>
          <w:b w:val="0"/>
        </w:rPr>
        <w:t xml:space="preserve">found the employer was </w:t>
      </w:r>
      <w:r w:rsidR="000E750D">
        <w:rPr>
          <w:b w:val="0"/>
        </w:rPr>
        <w:t>still</w:t>
      </w:r>
      <w:r>
        <w:rPr>
          <w:b w:val="0"/>
        </w:rPr>
        <w:t xml:space="preserve"> </w:t>
      </w:r>
      <w:r w:rsidRPr="00924596">
        <w:rPr>
          <w:b w:val="0"/>
        </w:rPr>
        <w:t xml:space="preserve">paying staff less than the </w:t>
      </w:r>
      <w:r>
        <w:rPr>
          <w:b w:val="0"/>
        </w:rPr>
        <w:t>minimum pay rates</w:t>
      </w:r>
      <w:r w:rsidRPr="00924596">
        <w:rPr>
          <w:b w:val="0"/>
        </w:rPr>
        <w:t xml:space="preserve"> </w:t>
      </w:r>
      <w:r>
        <w:rPr>
          <w:b w:val="0"/>
        </w:rPr>
        <w:t>required</w:t>
      </w:r>
      <w:r w:rsidRPr="00924596">
        <w:rPr>
          <w:b w:val="0"/>
        </w:rPr>
        <w:t xml:space="preserve"> for their respective classifications. This included an employee who had been back-paid following the earlier audit. </w:t>
      </w:r>
      <w:r>
        <w:rPr>
          <w:b w:val="0"/>
        </w:rPr>
        <w:t>The employer was</w:t>
      </w:r>
      <w:r w:rsidR="000E750D">
        <w:rPr>
          <w:b w:val="0"/>
        </w:rPr>
        <w:t xml:space="preserve"> also</w:t>
      </w:r>
      <w:r>
        <w:rPr>
          <w:b w:val="0"/>
        </w:rPr>
        <w:t xml:space="preserve"> issuing </w:t>
      </w:r>
      <w:r w:rsidR="000E750D">
        <w:rPr>
          <w:b w:val="0"/>
        </w:rPr>
        <w:t xml:space="preserve">incomplete </w:t>
      </w:r>
      <w:r>
        <w:rPr>
          <w:b w:val="0"/>
        </w:rPr>
        <w:t>pay slips</w:t>
      </w:r>
      <w:r w:rsidR="000E750D">
        <w:rPr>
          <w:b w:val="0"/>
        </w:rPr>
        <w:t xml:space="preserve"> as required</w:t>
      </w:r>
      <w:r>
        <w:rPr>
          <w:b w:val="0"/>
        </w:rPr>
        <w:t xml:space="preserve"> </w:t>
      </w:r>
      <w:r w:rsidR="000E750D">
        <w:rPr>
          <w:b w:val="0"/>
        </w:rPr>
        <w:t xml:space="preserve">by </w:t>
      </w:r>
      <w:r w:rsidRPr="00924596">
        <w:rPr>
          <w:b w:val="0"/>
        </w:rPr>
        <w:t>the Act and Regulations.</w:t>
      </w:r>
    </w:p>
    <w:p w14:paraId="32F1B45C" w14:textId="3BCF93B3" w:rsidR="00913914" w:rsidRPr="00924596" w:rsidRDefault="00913914" w:rsidP="00913914">
      <w:pPr>
        <w:pStyle w:val="Calloutbox1"/>
        <w:rPr>
          <w:b w:val="0"/>
        </w:rPr>
      </w:pPr>
      <w:r w:rsidRPr="00924596">
        <w:rPr>
          <w:b w:val="0"/>
        </w:rPr>
        <w:t xml:space="preserve">The FWO </w:t>
      </w:r>
      <w:r>
        <w:rPr>
          <w:b w:val="0"/>
        </w:rPr>
        <w:t>issued</w:t>
      </w:r>
      <w:r w:rsidRPr="00924596">
        <w:rPr>
          <w:b w:val="0"/>
        </w:rPr>
        <w:t xml:space="preserve"> the employer </w:t>
      </w:r>
      <w:r>
        <w:rPr>
          <w:b w:val="0"/>
        </w:rPr>
        <w:t>an Infringement Notice</w:t>
      </w:r>
      <w:r w:rsidRPr="00924596">
        <w:rPr>
          <w:b w:val="0"/>
        </w:rPr>
        <w:t xml:space="preserve"> for the continuing non-compliance with pay slip obligations. Fair Work Inspectors </w:t>
      </w:r>
      <w:r>
        <w:rPr>
          <w:b w:val="0"/>
        </w:rPr>
        <w:t xml:space="preserve">also </w:t>
      </w:r>
      <w:r w:rsidRPr="00924596">
        <w:rPr>
          <w:b w:val="0"/>
        </w:rPr>
        <w:t xml:space="preserve">issued the employer with a </w:t>
      </w:r>
      <w:r>
        <w:rPr>
          <w:b w:val="0"/>
        </w:rPr>
        <w:t xml:space="preserve">Formal Caution </w:t>
      </w:r>
      <w:r w:rsidRPr="00924596">
        <w:rPr>
          <w:b w:val="0"/>
        </w:rPr>
        <w:t>after recovering outstanding employee entitlements for a second time</w:t>
      </w:r>
      <w:r>
        <w:rPr>
          <w:b w:val="0"/>
        </w:rPr>
        <w:t xml:space="preserve">, warning </w:t>
      </w:r>
      <w:r w:rsidRPr="00924596">
        <w:rPr>
          <w:b w:val="0"/>
        </w:rPr>
        <w:t>the employer that future breaches could result in litigation</w:t>
      </w:r>
      <w:r>
        <w:rPr>
          <w:b w:val="0"/>
        </w:rPr>
        <w:t>.</w:t>
      </w:r>
      <w:r w:rsidRPr="00924596">
        <w:rPr>
          <w:b w:val="0"/>
        </w:rPr>
        <w:t xml:space="preserve"> </w:t>
      </w:r>
    </w:p>
    <w:p w14:paraId="60C05C1B" w14:textId="77777777" w:rsidR="00D938EE" w:rsidRDefault="00D938EE" w:rsidP="0055136D">
      <w:pPr>
        <w:pStyle w:val="Heading2"/>
      </w:pPr>
      <w:bookmarkStart w:id="62" w:name="_Toc527447240"/>
      <w:bookmarkStart w:id="63" w:name="_Toc528058401"/>
      <w:bookmarkStart w:id="64" w:name="_Toc528060227"/>
    </w:p>
    <w:p w14:paraId="0300BE1E" w14:textId="103C8A07" w:rsidR="001E405A" w:rsidRPr="001E6ED3" w:rsidRDefault="000612A8" w:rsidP="0055136D">
      <w:pPr>
        <w:pStyle w:val="Heading2"/>
      </w:pPr>
      <w:bookmarkStart w:id="65" w:name="_Toc529352624"/>
      <w:r>
        <w:t>I</w:t>
      </w:r>
      <w:r w:rsidR="001E405A" w:rsidRPr="00BD4635">
        <w:t>nfringement Notice</w:t>
      </w:r>
      <w:bookmarkEnd w:id="60"/>
      <w:bookmarkEnd w:id="61"/>
      <w:bookmarkEnd w:id="62"/>
      <w:bookmarkEnd w:id="63"/>
      <w:bookmarkEnd w:id="64"/>
      <w:bookmarkEnd w:id="65"/>
    </w:p>
    <w:p w14:paraId="4E8A2E68" w14:textId="77777777" w:rsidR="009705BB" w:rsidRDefault="001E405A" w:rsidP="001E405A">
      <w:pPr>
        <w:rPr>
          <w:rFonts w:eastAsiaTheme="minorHAnsi" w:cs="Times New Roman"/>
          <w:szCs w:val="20"/>
        </w:rPr>
      </w:pPr>
      <w:r w:rsidRPr="004F7FC6">
        <w:rPr>
          <w:rFonts w:eastAsiaTheme="minorHAnsi" w:cs="Times New Roman"/>
          <w:szCs w:val="20"/>
        </w:rPr>
        <w:t xml:space="preserve">An Infringement Notice is a fine for non-compliance with </w:t>
      </w:r>
      <w:r w:rsidR="00DA215B">
        <w:rPr>
          <w:rFonts w:eastAsiaTheme="minorHAnsi" w:cs="Times New Roman"/>
          <w:szCs w:val="20"/>
        </w:rPr>
        <w:t xml:space="preserve">the </w:t>
      </w:r>
      <w:r w:rsidRPr="004F7FC6">
        <w:rPr>
          <w:rFonts w:eastAsiaTheme="minorHAnsi" w:cs="Times New Roman"/>
          <w:szCs w:val="20"/>
        </w:rPr>
        <w:t>record-keeping or pay slip requirements</w:t>
      </w:r>
      <w:r w:rsidR="00DA215B">
        <w:rPr>
          <w:rFonts w:eastAsiaTheme="minorHAnsi" w:cs="Times New Roman"/>
          <w:szCs w:val="20"/>
        </w:rPr>
        <w:t xml:space="preserve"> of the Act and Regulations. </w:t>
      </w:r>
    </w:p>
    <w:p w14:paraId="26233DC0" w14:textId="77777777" w:rsidR="001E405A" w:rsidRPr="002961C7" w:rsidRDefault="001E405A">
      <w:pPr>
        <w:pStyle w:val="Calloutbox1"/>
      </w:pPr>
      <w:r w:rsidRPr="002961C7">
        <w:t>Infringement Notice</w:t>
      </w:r>
      <w:r w:rsidR="00557D9C">
        <w:t xml:space="preserve">: </w:t>
      </w:r>
      <w:r w:rsidR="00DA215B">
        <w:t xml:space="preserve"> repeated </w:t>
      </w:r>
      <w:r w:rsidR="00557D9C">
        <w:t>breaches of</w:t>
      </w:r>
      <w:r w:rsidR="00DA215B">
        <w:t xml:space="preserve"> pay slip obligations</w:t>
      </w:r>
    </w:p>
    <w:p w14:paraId="3104C3CB" w14:textId="77777777" w:rsidR="001E405A" w:rsidRPr="00924596" w:rsidRDefault="00F014D9">
      <w:pPr>
        <w:pStyle w:val="Calloutbox1"/>
        <w:rPr>
          <w:b w:val="0"/>
        </w:rPr>
      </w:pPr>
      <w:r w:rsidRPr="00924596">
        <w:rPr>
          <w:b w:val="0"/>
        </w:rPr>
        <w:t xml:space="preserve">Fair Work Inspectors </w:t>
      </w:r>
      <w:r w:rsidR="00A45F30">
        <w:rPr>
          <w:b w:val="0"/>
        </w:rPr>
        <w:t xml:space="preserve">audited a </w:t>
      </w:r>
      <w:r w:rsidR="001E405A" w:rsidRPr="00924596">
        <w:rPr>
          <w:b w:val="0"/>
        </w:rPr>
        <w:t xml:space="preserve">fast food business </w:t>
      </w:r>
      <w:r w:rsidR="00A45F30">
        <w:rPr>
          <w:b w:val="0"/>
        </w:rPr>
        <w:t xml:space="preserve">and </w:t>
      </w:r>
      <w:r w:rsidR="002961C7">
        <w:rPr>
          <w:b w:val="0"/>
        </w:rPr>
        <w:t xml:space="preserve">found </w:t>
      </w:r>
      <w:r w:rsidR="00A45F30">
        <w:rPr>
          <w:b w:val="0"/>
        </w:rPr>
        <w:t xml:space="preserve">the employer </w:t>
      </w:r>
      <w:r w:rsidR="00557D9C">
        <w:rPr>
          <w:b w:val="0"/>
        </w:rPr>
        <w:t>issued</w:t>
      </w:r>
      <w:r w:rsidR="00A45F30">
        <w:rPr>
          <w:b w:val="0"/>
        </w:rPr>
        <w:t xml:space="preserve"> </w:t>
      </w:r>
      <w:r w:rsidR="001E405A" w:rsidRPr="00924596">
        <w:rPr>
          <w:b w:val="0"/>
        </w:rPr>
        <w:t>pay slip</w:t>
      </w:r>
      <w:r w:rsidR="00A45F30">
        <w:rPr>
          <w:b w:val="0"/>
        </w:rPr>
        <w:t>s to staff that omitted</w:t>
      </w:r>
      <w:r w:rsidR="001E405A" w:rsidRPr="00924596">
        <w:rPr>
          <w:b w:val="0"/>
        </w:rPr>
        <w:t xml:space="preserve"> </w:t>
      </w:r>
      <w:r w:rsidRPr="00924596">
        <w:rPr>
          <w:b w:val="0"/>
        </w:rPr>
        <w:t>the business</w:t>
      </w:r>
      <w:r w:rsidR="001E405A" w:rsidRPr="00924596">
        <w:rPr>
          <w:b w:val="0"/>
        </w:rPr>
        <w:t xml:space="preserve"> ABN. </w:t>
      </w:r>
      <w:r w:rsidR="00A45F30">
        <w:rPr>
          <w:b w:val="0"/>
        </w:rPr>
        <w:t xml:space="preserve">They educated the employer about </w:t>
      </w:r>
      <w:r w:rsidR="00557D9C">
        <w:rPr>
          <w:b w:val="0"/>
        </w:rPr>
        <w:t xml:space="preserve">the </w:t>
      </w:r>
      <w:r w:rsidR="00A45F30">
        <w:rPr>
          <w:b w:val="0"/>
        </w:rPr>
        <w:t xml:space="preserve">pay slip obligations detailed in the </w:t>
      </w:r>
      <w:r w:rsidR="001E405A" w:rsidRPr="00924596">
        <w:rPr>
          <w:b w:val="0"/>
        </w:rPr>
        <w:t>Ac</w:t>
      </w:r>
      <w:r w:rsidR="001F79E7">
        <w:rPr>
          <w:b w:val="0"/>
        </w:rPr>
        <w:t>t</w:t>
      </w:r>
      <w:r w:rsidR="001E405A" w:rsidRPr="00924596">
        <w:rPr>
          <w:b w:val="0"/>
        </w:rPr>
        <w:t xml:space="preserve"> </w:t>
      </w:r>
      <w:r w:rsidR="00A45F30">
        <w:rPr>
          <w:b w:val="0"/>
        </w:rPr>
        <w:t>and</w:t>
      </w:r>
      <w:r w:rsidR="001E405A" w:rsidRPr="00924596">
        <w:rPr>
          <w:b w:val="0"/>
        </w:rPr>
        <w:t xml:space="preserve"> Regulations</w:t>
      </w:r>
      <w:r w:rsidR="00A45F30">
        <w:rPr>
          <w:b w:val="0"/>
        </w:rPr>
        <w:t>, including the requirement for the ABN.</w:t>
      </w:r>
    </w:p>
    <w:p w14:paraId="1ED822CE" w14:textId="44363AB2" w:rsidR="001E405A" w:rsidRDefault="00A45F30" w:rsidP="00832C2D">
      <w:pPr>
        <w:pStyle w:val="Calloutbox1"/>
        <w:rPr>
          <w:rFonts w:ascii="Helvetica" w:hAnsi="Helvetica" w:cs="Helvetica"/>
          <w:color w:val="0194A6"/>
          <w:sz w:val="28"/>
        </w:rPr>
      </w:pPr>
      <w:r>
        <w:rPr>
          <w:b w:val="0"/>
        </w:rPr>
        <w:t xml:space="preserve">When </w:t>
      </w:r>
      <w:r w:rsidR="00E3620D" w:rsidRPr="00924596">
        <w:rPr>
          <w:b w:val="0"/>
        </w:rPr>
        <w:t xml:space="preserve">Inspectors </w:t>
      </w:r>
      <w:r>
        <w:rPr>
          <w:b w:val="0"/>
        </w:rPr>
        <w:t>re-audited the business during th</w:t>
      </w:r>
      <w:r w:rsidR="00725C8E">
        <w:rPr>
          <w:b w:val="0"/>
        </w:rPr>
        <w:t>e</w:t>
      </w:r>
      <w:r w:rsidR="00557D9C">
        <w:rPr>
          <w:b w:val="0"/>
        </w:rPr>
        <w:t xml:space="preserve"> Campaign, </w:t>
      </w:r>
      <w:r>
        <w:rPr>
          <w:b w:val="0"/>
        </w:rPr>
        <w:t xml:space="preserve">they </w:t>
      </w:r>
      <w:r w:rsidR="00E3620D" w:rsidRPr="00924596">
        <w:rPr>
          <w:b w:val="0"/>
        </w:rPr>
        <w:t xml:space="preserve">found </w:t>
      </w:r>
      <w:r w:rsidR="001E405A" w:rsidRPr="00924596">
        <w:rPr>
          <w:b w:val="0"/>
        </w:rPr>
        <w:t xml:space="preserve">the employer </w:t>
      </w:r>
      <w:r w:rsidR="00B051F0">
        <w:rPr>
          <w:b w:val="0"/>
        </w:rPr>
        <w:t>was not issuing</w:t>
      </w:r>
      <w:r w:rsidR="001E405A" w:rsidRPr="00924596">
        <w:rPr>
          <w:b w:val="0"/>
        </w:rPr>
        <w:t xml:space="preserve"> payslips at all</w:t>
      </w:r>
      <w:r>
        <w:rPr>
          <w:b w:val="0"/>
        </w:rPr>
        <w:t xml:space="preserve">. </w:t>
      </w:r>
      <w:r w:rsidR="00E872AB">
        <w:rPr>
          <w:b w:val="0"/>
        </w:rPr>
        <w:t xml:space="preserve"> </w:t>
      </w:r>
      <w:r w:rsidR="00E3620D" w:rsidRPr="00924596">
        <w:rPr>
          <w:b w:val="0"/>
        </w:rPr>
        <w:t xml:space="preserve">The FWO </w:t>
      </w:r>
      <w:r w:rsidR="00E872AB">
        <w:rPr>
          <w:b w:val="0"/>
        </w:rPr>
        <w:t xml:space="preserve">issued the employer with </w:t>
      </w:r>
      <w:r w:rsidR="00B051F0">
        <w:rPr>
          <w:b w:val="0"/>
        </w:rPr>
        <w:t>Infringement Notices</w:t>
      </w:r>
      <w:r w:rsidR="00E44E7D">
        <w:rPr>
          <w:b w:val="0"/>
        </w:rPr>
        <w:t xml:space="preserve"> for the amount </w:t>
      </w:r>
      <w:proofErr w:type="gramStart"/>
      <w:r w:rsidR="00E44E7D">
        <w:rPr>
          <w:b w:val="0"/>
        </w:rPr>
        <w:t>of</w:t>
      </w:r>
      <w:r w:rsidR="00E872AB">
        <w:rPr>
          <w:b w:val="0"/>
        </w:rPr>
        <w:t xml:space="preserve"> </w:t>
      </w:r>
      <w:r w:rsidR="00E44E7D">
        <w:rPr>
          <w:b w:val="0"/>
        </w:rPr>
        <w:t xml:space="preserve"> </w:t>
      </w:r>
      <w:r w:rsidR="00E872AB">
        <w:rPr>
          <w:b w:val="0"/>
        </w:rPr>
        <w:t>$</w:t>
      </w:r>
      <w:proofErr w:type="gramEnd"/>
      <w:r w:rsidR="00E872AB">
        <w:rPr>
          <w:b w:val="0"/>
        </w:rPr>
        <w:t xml:space="preserve">1800. </w:t>
      </w:r>
    </w:p>
    <w:p w14:paraId="7D5858C4" w14:textId="77777777" w:rsidR="00D938EE" w:rsidRDefault="00D938EE" w:rsidP="0055136D">
      <w:pPr>
        <w:pStyle w:val="Heading2"/>
      </w:pPr>
      <w:bookmarkStart w:id="66" w:name="_Toc520457115"/>
      <w:bookmarkStart w:id="67" w:name="_Toc526855138"/>
      <w:bookmarkStart w:id="68" w:name="_Toc527447241"/>
      <w:bookmarkStart w:id="69" w:name="_Toc528058402"/>
      <w:bookmarkStart w:id="70" w:name="_Toc528060228"/>
      <w:r>
        <w:br w:type="page"/>
      </w:r>
    </w:p>
    <w:p w14:paraId="161EB41D" w14:textId="69FE6A94" w:rsidR="001E405A" w:rsidRPr="001E6ED3" w:rsidRDefault="001E405A" w:rsidP="0055136D">
      <w:pPr>
        <w:pStyle w:val="Heading2"/>
      </w:pPr>
      <w:bookmarkStart w:id="71" w:name="_Toc529352625"/>
      <w:r>
        <w:lastRenderedPageBreak/>
        <w:t>Co</w:t>
      </w:r>
      <w:r w:rsidRPr="001E6ED3">
        <w:t>mpliance Notice</w:t>
      </w:r>
      <w:bookmarkEnd w:id="66"/>
      <w:bookmarkEnd w:id="67"/>
      <w:bookmarkEnd w:id="68"/>
      <w:bookmarkEnd w:id="69"/>
      <w:bookmarkEnd w:id="70"/>
      <w:bookmarkEnd w:id="71"/>
      <w:r w:rsidRPr="001E6ED3">
        <w:t> </w:t>
      </w:r>
    </w:p>
    <w:p w14:paraId="32F07063" w14:textId="341E7FF7" w:rsidR="001E405A" w:rsidRPr="004F7FC6" w:rsidRDefault="001E405A" w:rsidP="00913914">
      <w:pPr>
        <w:rPr>
          <w:rFonts w:eastAsiaTheme="minorHAnsi" w:cs="Times New Roman"/>
          <w:szCs w:val="20"/>
        </w:rPr>
      </w:pPr>
      <w:r w:rsidRPr="004F7FC6">
        <w:rPr>
          <w:rFonts w:eastAsiaTheme="minorHAnsi" w:cs="Times New Roman"/>
          <w:szCs w:val="20"/>
        </w:rPr>
        <w:t xml:space="preserve">A Compliance Notice is a written notice that </w:t>
      </w:r>
      <w:r w:rsidR="00B051F0">
        <w:rPr>
          <w:rFonts w:eastAsiaTheme="minorHAnsi" w:cs="Times New Roman"/>
          <w:szCs w:val="20"/>
        </w:rPr>
        <w:t xml:space="preserve">requires </w:t>
      </w:r>
      <w:r w:rsidR="005C08CF">
        <w:rPr>
          <w:rFonts w:eastAsiaTheme="minorHAnsi" w:cs="Times New Roman"/>
          <w:szCs w:val="20"/>
        </w:rPr>
        <w:t xml:space="preserve">an employer </w:t>
      </w:r>
      <w:r w:rsidRPr="004F7FC6">
        <w:rPr>
          <w:rFonts w:eastAsiaTheme="minorHAnsi" w:cs="Times New Roman"/>
          <w:szCs w:val="20"/>
        </w:rPr>
        <w:t xml:space="preserve">to rectify breaches of </w:t>
      </w:r>
      <w:r w:rsidR="005C08CF">
        <w:rPr>
          <w:rFonts w:eastAsiaTheme="minorHAnsi" w:cs="Times New Roman"/>
          <w:szCs w:val="20"/>
        </w:rPr>
        <w:t>the Act</w:t>
      </w:r>
      <w:r w:rsidRPr="004F7FC6">
        <w:rPr>
          <w:rFonts w:eastAsiaTheme="minorHAnsi" w:cs="Times New Roman"/>
          <w:szCs w:val="20"/>
        </w:rPr>
        <w:t xml:space="preserve">. </w:t>
      </w:r>
      <w:r w:rsidR="005C08CF">
        <w:rPr>
          <w:rFonts w:eastAsiaTheme="minorHAnsi" w:cs="Times New Roman"/>
          <w:szCs w:val="20"/>
        </w:rPr>
        <w:t xml:space="preserve">Failure to comply with the requirement of </w:t>
      </w:r>
      <w:r w:rsidR="00B051F0">
        <w:rPr>
          <w:rFonts w:eastAsiaTheme="minorHAnsi" w:cs="Times New Roman"/>
          <w:szCs w:val="20"/>
        </w:rPr>
        <w:t xml:space="preserve">a Compliance </w:t>
      </w:r>
      <w:r w:rsidR="005C08CF">
        <w:rPr>
          <w:rFonts w:eastAsiaTheme="minorHAnsi" w:cs="Times New Roman"/>
          <w:szCs w:val="20"/>
        </w:rPr>
        <w:t xml:space="preserve">Notice can result in </w:t>
      </w:r>
      <w:r w:rsidR="0026246F">
        <w:rPr>
          <w:rFonts w:eastAsiaTheme="minorHAnsi" w:cs="Times New Roman"/>
          <w:szCs w:val="20"/>
        </w:rPr>
        <w:t xml:space="preserve">the FWO commencing </w:t>
      </w:r>
      <w:r w:rsidR="005C08CF">
        <w:rPr>
          <w:rFonts w:eastAsiaTheme="minorHAnsi" w:cs="Times New Roman"/>
          <w:szCs w:val="20"/>
        </w:rPr>
        <w:t>legal proceedings</w:t>
      </w:r>
      <w:r w:rsidR="0026246F">
        <w:rPr>
          <w:rFonts w:eastAsiaTheme="minorHAnsi" w:cs="Times New Roman"/>
          <w:szCs w:val="20"/>
        </w:rPr>
        <w:t>.</w:t>
      </w:r>
    </w:p>
    <w:p w14:paraId="4D14541D" w14:textId="12280757" w:rsidR="005C08CF" w:rsidRDefault="00210CEF">
      <w:pPr>
        <w:pStyle w:val="Calloutbox1"/>
      </w:pPr>
      <w:r>
        <w:t xml:space="preserve">Compliance </w:t>
      </w:r>
      <w:r w:rsidR="00913914">
        <w:t>N</w:t>
      </w:r>
      <w:r>
        <w:t>otice</w:t>
      </w:r>
      <w:r w:rsidR="00557D9C">
        <w:t>:</w:t>
      </w:r>
      <w:r>
        <w:t xml:space="preserve"> additional breaches found </w:t>
      </w:r>
      <w:r w:rsidR="00557D9C">
        <w:t>in a follow-up audit</w:t>
      </w:r>
    </w:p>
    <w:p w14:paraId="1FEBC7AF" w14:textId="049B1205" w:rsidR="001E405A" w:rsidRPr="00924596" w:rsidRDefault="009705BB">
      <w:pPr>
        <w:pStyle w:val="Calloutbox1"/>
        <w:rPr>
          <w:b w:val="0"/>
        </w:rPr>
      </w:pPr>
      <w:r>
        <w:rPr>
          <w:b w:val="0"/>
        </w:rPr>
        <w:t>Fair Work Inspectors</w:t>
      </w:r>
      <w:r w:rsidR="001E405A" w:rsidRPr="00924596">
        <w:rPr>
          <w:b w:val="0"/>
        </w:rPr>
        <w:t xml:space="preserve"> </w:t>
      </w:r>
      <w:r w:rsidR="003E290B">
        <w:rPr>
          <w:b w:val="0"/>
        </w:rPr>
        <w:t xml:space="preserve">had previously </w:t>
      </w:r>
      <w:r w:rsidR="001E405A" w:rsidRPr="00924596">
        <w:rPr>
          <w:b w:val="0"/>
        </w:rPr>
        <w:t xml:space="preserve">audited a fast food business and identified </w:t>
      </w:r>
      <w:r w:rsidR="003E290B">
        <w:rPr>
          <w:b w:val="0"/>
        </w:rPr>
        <w:t>it</w:t>
      </w:r>
      <w:r w:rsidR="001E405A" w:rsidRPr="00924596">
        <w:rPr>
          <w:b w:val="0"/>
        </w:rPr>
        <w:t xml:space="preserve"> had underpaid staff the ordinary hourly pay rates prescribed by the </w:t>
      </w:r>
      <w:r w:rsidR="001E405A" w:rsidRPr="00832C2D">
        <w:rPr>
          <w:b w:val="0"/>
          <w:i/>
        </w:rPr>
        <w:t>Fast Food Industry Award 2010</w:t>
      </w:r>
      <w:r w:rsidR="001E405A" w:rsidRPr="00924596">
        <w:rPr>
          <w:b w:val="0"/>
        </w:rPr>
        <w:t xml:space="preserve"> (the Award). </w:t>
      </w:r>
      <w:r w:rsidR="003E290B">
        <w:rPr>
          <w:b w:val="0"/>
        </w:rPr>
        <w:t xml:space="preserve">The employer was required to </w:t>
      </w:r>
      <w:r w:rsidR="001E405A" w:rsidRPr="00924596">
        <w:rPr>
          <w:b w:val="0"/>
        </w:rPr>
        <w:t>pay three casual workers $3700 in outstanding entitlements.</w:t>
      </w:r>
    </w:p>
    <w:p w14:paraId="335854AC" w14:textId="1E06BE9C" w:rsidR="001E405A" w:rsidRPr="00924596" w:rsidRDefault="001E405A">
      <w:pPr>
        <w:pStyle w:val="Calloutbox1"/>
        <w:rPr>
          <w:b w:val="0"/>
        </w:rPr>
      </w:pPr>
      <w:r w:rsidRPr="00924596">
        <w:rPr>
          <w:b w:val="0"/>
        </w:rPr>
        <w:t xml:space="preserve">Returning to check on the employer’s compliance, </w:t>
      </w:r>
      <w:r w:rsidR="00557D9C">
        <w:rPr>
          <w:b w:val="0"/>
        </w:rPr>
        <w:t>Fair Work Inspectors</w:t>
      </w:r>
      <w:r w:rsidR="00557D9C" w:rsidRPr="00924596">
        <w:rPr>
          <w:b w:val="0"/>
        </w:rPr>
        <w:t xml:space="preserve"> </w:t>
      </w:r>
      <w:r w:rsidRPr="00924596">
        <w:rPr>
          <w:b w:val="0"/>
        </w:rPr>
        <w:t xml:space="preserve">found </w:t>
      </w:r>
      <w:r w:rsidR="00557D9C">
        <w:rPr>
          <w:b w:val="0"/>
        </w:rPr>
        <w:t>both repeated and new</w:t>
      </w:r>
      <w:r w:rsidRPr="00924596">
        <w:rPr>
          <w:b w:val="0"/>
        </w:rPr>
        <w:t xml:space="preserve"> breaches of the Award. The employer had underpaid staff their minimum ordinary hourly rate, as well as Saturday penalty rates. The business also failed to observe the Award’s minimum engagement provisions. Two of the affected workers, including a junior employee, had been back-paid during </w:t>
      </w:r>
      <w:r w:rsidR="00557D9C">
        <w:rPr>
          <w:b w:val="0"/>
        </w:rPr>
        <w:t>the</w:t>
      </w:r>
      <w:r w:rsidR="00557D9C" w:rsidRPr="00924596">
        <w:rPr>
          <w:b w:val="0"/>
        </w:rPr>
        <w:t xml:space="preserve"> </w:t>
      </w:r>
      <w:r w:rsidRPr="00924596">
        <w:rPr>
          <w:b w:val="0"/>
        </w:rPr>
        <w:t>previous audit.</w:t>
      </w:r>
    </w:p>
    <w:p w14:paraId="5EB52AFE" w14:textId="62485C41" w:rsidR="001E405A" w:rsidRPr="00924596" w:rsidRDefault="00557D9C">
      <w:pPr>
        <w:pStyle w:val="Calloutbox1"/>
        <w:rPr>
          <w:b w:val="0"/>
        </w:rPr>
      </w:pPr>
      <w:r>
        <w:rPr>
          <w:b w:val="0"/>
        </w:rPr>
        <w:t>Fair Work Inspectors</w:t>
      </w:r>
      <w:r w:rsidRPr="00924596">
        <w:rPr>
          <w:b w:val="0"/>
        </w:rPr>
        <w:t xml:space="preserve"> </w:t>
      </w:r>
      <w:r w:rsidR="001E405A" w:rsidRPr="00924596">
        <w:rPr>
          <w:b w:val="0"/>
        </w:rPr>
        <w:t xml:space="preserve">issued a Compliance Notice to address the employer’s continued non-compliance, </w:t>
      </w:r>
      <w:r w:rsidR="00B051F0">
        <w:rPr>
          <w:b w:val="0"/>
        </w:rPr>
        <w:t>requiring</w:t>
      </w:r>
      <w:r w:rsidR="00B051F0" w:rsidRPr="00924596">
        <w:rPr>
          <w:b w:val="0"/>
        </w:rPr>
        <w:t xml:space="preserve"> </w:t>
      </w:r>
      <w:r w:rsidR="001E405A" w:rsidRPr="00924596">
        <w:rPr>
          <w:b w:val="0"/>
        </w:rPr>
        <w:t xml:space="preserve">them to </w:t>
      </w:r>
      <w:r w:rsidR="005C08CF">
        <w:rPr>
          <w:b w:val="0"/>
        </w:rPr>
        <w:t>back-</w:t>
      </w:r>
      <w:r w:rsidR="001E405A" w:rsidRPr="00924596">
        <w:rPr>
          <w:b w:val="0"/>
        </w:rPr>
        <w:t xml:space="preserve">pay $2391 to three workers. </w:t>
      </w:r>
    </w:p>
    <w:p w14:paraId="6E1F04B0" w14:textId="77777777" w:rsidR="008F49EC" w:rsidRDefault="008F49EC">
      <w:pPr>
        <w:spacing w:after="0" w:line="240" w:lineRule="auto"/>
        <w:rPr>
          <w:rFonts w:eastAsia="Calibri" w:cstheme="minorHAnsi"/>
          <w:b/>
          <w:color w:val="17365D" w:themeColor="text2" w:themeShade="BF"/>
          <w:szCs w:val="22"/>
          <w:lang w:eastAsia="en-AU"/>
        </w:rPr>
      </w:pPr>
      <w:bookmarkStart w:id="72" w:name="_Toc520457116"/>
      <w:bookmarkStart w:id="73" w:name="_Toc526855139"/>
      <w:bookmarkStart w:id="74" w:name="_Toc527447242"/>
      <w:bookmarkStart w:id="75" w:name="_Toc528058403"/>
      <w:bookmarkStart w:id="76" w:name="_Toc528060229"/>
      <w:r>
        <w:br w:type="page"/>
      </w:r>
    </w:p>
    <w:p w14:paraId="7D47294F" w14:textId="71D4070A" w:rsidR="001E405A" w:rsidRDefault="001E405A" w:rsidP="0055136D">
      <w:pPr>
        <w:pStyle w:val="Heading2"/>
      </w:pPr>
      <w:bookmarkStart w:id="77" w:name="_Toc529352626"/>
      <w:r w:rsidRPr="001E6ED3">
        <w:lastRenderedPageBreak/>
        <w:t>Enforceable Undertaking</w:t>
      </w:r>
      <w:bookmarkEnd w:id="72"/>
      <w:bookmarkEnd w:id="73"/>
      <w:bookmarkEnd w:id="74"/>
      <w:bookmarkEnd w:id="75"/>
      <w:bookmarkEnd w:id="76"/>
      <w:bookmarkEnd w:id="77"/>
      <w:r w:rsidRPr="001E6ED3">
        <w:t xml:space="preserve"> </w:t>
      </w:r>
    </w:p>
    <w:p w14:paraId="2E08AB45" w14:textId="48FEDB6E" w:rsidR="001E405A" w:rsidRDefault="001E405A" w:rsidP="003E290B">
      <w:pPr>
        <w:jc w:val="both"/>
        <w:rPr>
          <w:rFonts w:eastAsia="Calibri" w:cs="Helvetica"/>
        </w:rPr>
      </w:pPr>
      <w:r w:rsidRPr="000A0814">
        <w:rPr>
          <w:rFonts w:eastAsia="Calibri" w:cs="Helvetica"/>
        </w:rPr>
        <w:t xml:space="preserve">An Enforceable Undertaking is a legally binding agreement in which an employer publicly </w:t>
      </w:r>
      <w:r w:rsidR="003E290B">
        <w:rPr>
          <w:rFonts w:eastAsia="Calibri" w:cs="Helvetica"/>
        </w:rPr>
        <w:t xml:space="preserve">admits and </w:t>
      </w:r>
      <w:r>
        <w:rPr>
          <w:rFonts w:eastAsia="Calibri" w:cs="Helvetica"/>
        </w:rPr>
        <w:t xml:space="preserve">agrees to </w:t>
      </w:r>
      <w:r w:rsidRPr="000A0814">
        <w:rPr>
          <w:rFonts w:eastAsia="Calibri" w:cs="Helvetica"/>
        </w:rPr>
        <w:t>rectif</w:t>
      </w:r>
      <w:r>
        <w:rPr>
          <w:rFonts w:eastAsia="Calibri" w:cs="Helvetica"/>
        </w:rPr>
        <w:t>y</w:t>
      </w:r>
      <w:r w:rsidRPr="000A0814">
        <w:rPr>
          <w:rFonts w:eastAsia="Calibri" w:cs="Helvetica"/>
        </w:rPr>
        <w:t xml:space="preserve"> serious breaches of the law. </w:t>
      </w:r>
      <w:r w:rsidR="00986129">
        <w:rPr>
          <w:rFonts w:eastAsia="Calibri" w:cs="Helvetica"/>
        </w:rPr>
        <w:t>It</w:t>
      </w:r>
      <w:r w:rsidR="00986129" w:rsidRPr="000A0814">
        <w:rPr>
          <w:rFonts w:eastAsia="Calibri" w:cs="Helvetica"/>
        </w:rPr>
        <w:t xml:space="preserve"> </w:t>
      </w:r>
      <w:r w:rsidRPr="000A0814">
        <w:rPr>
          <w:rFonts w:eastAsia="Calibri" w:cs="Helvetica"/>
        </w:rPr>
        <w:t xml:space="preserve">requires an employer </w:t>
      </w:r>
      <w:r>
        <w:rPr>
          <w:rFonts w:eastAsia="Calibri" w:cs="Helvetica"/>
        </w:rPr>
        <w:t>to t</w:t>
      </w:r>
      <w:r w:rsidRPr="000A0814">
        <w:rPr>
          <w:rFonts w:eastAsia="Calibri" w:cs="Helvetica"/>
        </w:rPr>
        <w:t>ake</w:t>
      </w:r>
      <w:r w:rsidR="00210CEF">
        <w:rPr>
          <w:rFonts w:eastAsia="Calibri" w:cs="Helvetica"/>
        </w:rPr>
        <w:t xml:space="preserve"> a number of </w:t>
      </w:r>
      <w:r w:rsidRPr="000A0814">
        <w:rPr>
          <w:rFonts w:eastAsia="Calibri" w:cs="Helvetica"/>
        </w:rPr>
        <w:t xml:space="preserve">steps to </w:t>
      </w:r>
      <w:r>
        <w:rPr>
          <w:rFonts w:eastAsia="Calibri" w:cs="Helvetica"/>
        </w:rPr>
        <w:t>r</w:t>
      </w:r>
      <w:r w:rsidRPr="000A0814">
        <w:rPr>
          <w:rFonts w:eastAsia="Calibri" w:cs="Helvetica"/>
        </w:rPr>
        <w:t>emain compliant</w:t>
      </w:r>
      <w:r>
        <w:rPr>
          <w:rFonts w:eastAsia="Calibri" w:cs="Helvetica"/>
        </w:rPr>
        <w:t>. This i</w:t>
      </w:r>
      <w:r w:rsidRPr="000A0814">
        <w:rPr>
          <w:rFonts w:eastAsia="Calibri" w:cs="Helvetica"/>
        </w:rPr>
        <w:t>ncludes workplace relations training</w:t>
      </w:r>
      <w:r>
        <w:rPr>
          <w:rFonts w:eastAsia="Calibri" w:cs="Helvetica"/>
        </w:rPr>
        <w:t xml:space="preserve">, </w:t>
      </w:r>
      <w:r w:rsidRPr="000A0814">
        <w:rPr>
          <w:rFonts w:eastAsia="Calibri" w:cs="Helvetica"/>
        </w:rPr>
        <w:t>self-auditing</w:t>
      </w:r>
      <w:r>
        <w:rPr>
          <w:rFonts w:eastAsia="Calibri" w:cs="Helvetica"/>
        </w:rPr>
        <w:t xml:space="preserve">, and regular reporting to FWO. </w:t>
      </w:r>
      <w:r w:rsidRPr="000A0814">
        <w:rPr>
          <w:rFonts w:eastAsia="Calibri" w:cs="Helvetica"/>
        </w:rPr>
        <w:t xml:space="preserve">An </w:t>
      </w:r>
      <w:r w:rsidR="00986129" w:rsidRPr="000A0814">
        <w:rPr>
          <w:rFonts w:eastAsia="Calibri" w:cs="Helvetica"/>
        </w:rPr>
        <w:t xml:space="preserve">Enforceable Undertaking </w:t>
      </w:r>
      <w:r w:rsidR="00210CEF">
        <w:rPr>
          <w:rFonts w:eastAsia="Calibri" w:cs="Helvetica"/>
        </w:rPr>
        <w:t>can</w:t>
      </w:r>
      <w:r w:rsidR="00210CEF" w:rsidRPr="000A0814">
        <w:rPr>
          <w:rFonts w:eastAsia="Calibri" w:cs="Helvetica"/>
        </w:rPr>
        <w:t xml:space="preserve"> </w:t>
      </w:r>
      <w:r w:rsidRPr="000A0814">
        <w:rPr>
          <w:rFonts w:eastAsia="Calibri" w:cs="Helvetica"/>
        </w:rPr>
        <w:t xml:space="preserve">remain in place for a period </w:t>
      </w:r>
      <w:r w:rsidR="00210CEF">
        <w:rPr>
          <w:rFonts w:eastAsia="Calibri" w:cs="Helvetica"/>
        </w:rPr>
        <w:t>of up to five</w:t>
      </w:r>
      <w:r w:rsidRPr="000A0814">
        <w:rPr>
          <w:rFonts w:eastAsia="Calibri" w:cs="Helvetica"/>
        </w:rPr>
        <w:t xml:space="preserve"> years.</w:t>
      </w:r>
    </w:p>
    <w:p w14:paraId="1D9F3B61" w14:textId="77777777" w:rsidR="001F79E7" w:rsidRPr="001F79E7" w:rsidRDefault="001F79E7" w:rsidP="00832C2D">
      <w:pPr>
        <w:pBdr>
          <w:top w:val="single" w:sz="48" w:space="3" w:color="33C1D7"/>
          <w:left w:val="single" w:sz="48" w:space="13" w:color="33C1D7"/>
          <w:bottom w:val="single" w:sz="48" w:space="6" w:color="33C1D7"/>
          <w:right w:val="single" w:sz="48" w:space="8" w:color="33C1D7"/>
        </w:pBdr>
        <w:ind w:left="360" w:right="284"/>
        <w:rPr>
          <w:rFonts w:ascii="Calibri" w:eastAsia="Calibri" w:hAnsi="Calibri" w:cs="Times New Roman"/>
          <w:b/>
          <w:szCs w:val="20"/>
        </w:rPr>
      </w:pPr>
      <w:r w:rsidRPr="001F79E7">
        <w:rPr>
          <w:rFonts w:ascii="Calibri" w:eastAsia="Calibri" w:hAnsi="Calibri" w:cs="Times New Roman"/>
          <w:b/>
          <w:szCs w:val="20"/>
        </w:rPr>
        <w:t>Enforceable Undertaking</w:t>
      </w:r>
      <w:r w:rsidR="00266BAB">
        <w:rPr>
          <w:rFonts w:ascii="Calibri" w:eastAsia="Calibri" w:hAnsi="Calibri" w:cs="Times New Roman"/>
          <w:b/>
          <w:szCs w:val="20"/>
        </w:rPr>
        <w:t>:</w:t>
      </w:r>
      <w:r w:rsidRPr="001F79E7">
        <w:rPr>
          <w:rFonts w:ascii="Calibri" w:eastAsia="Calibri" w:hAnsi="Calibri" w:cs="Times New Roman"/>
          <w:b/>
          <w:szCs w:val="20"/>
        </w:rPr>
        <w:t xml:space="preserve"> serious, but unintentional non-compliance </w:t>
      </w:r>
    </w:p>
    <w:p w14:paraId="00B5AC64" w14:textId="25BA6A8A" w:rsidR="001F79E7" w:rsidRDefault="001F79E7" w:rsidP="00832C2D">
      <w:pPr>
        <w:pBdr>
          <w:top w:val="single" w:sz="48" w:space="3" w:color="33C1D7"/>
          <w:left w:val="single" w:sz="48" w:space="13" w:color="33C1D7"/>
          <w:bottom w:val="single" w:sz="48" w:space="6" w:color="33C1D7"/>
          <w:right w:val="single" w:sz="48" w:space="8" w:color="33C1D7"/>
        </w:pBdr>
        <w:ind w:left="360" w:right="284"/>
        <w:rPr>
          <w:rFonts w:ascii="Calibri" w:eastAsia="Calibri" w:hAnsi="Calibri" w:cs="Times New Roman"/>
          <w:szCs w:val="20"/>
        </w:rPr>
      </w:pPr>
      <w:r w:rsidRPr="001F79E7">
        <w:rPr>
          <w:rFonts w:ascii="Calibri" w:eastAsia="Calibri" w:hAnsi="Calibri" w:cs="Times New Roman"/>
          <w:szCs w:val="20"/>
        </w:rPr>
        <w:t>Fair Work Inspectors audited Xin Long Pty Ltd, trading as Mr Kitchen, a fast food outlet in Doncaster, Melbourne</w:t>
      </w:r>
      <w:r w:rsidR="00EA2E82">
        <w:rPr>
          <w:rStyle w:val="FootnoteReference"/>
          <w:rFonts w:ascii="Calibri" w:eastAsia="Calibri" w:hAnsi="Calibri"/>
          <w:szCs w:val="20"/>
        </w:rPr>
        <w:footnoteReference w:id="12"/>
      </w:r>
      <w:r w:rsidR="007D09C9">
        <w:rPr>
          <w:rFonts w:ascii="Calibri" w:eastAsia="Calibri" w:hAnsi="Calibri" w:cs="Times New Roman"/>
          <w:szCs w:val="20"/>
        </w:rPr>
        <w:t xml:space="preserve">. </w:t>
      </w:r>
    </w:p>
    <w:p w14:paraId="54A33BFD" w14:textId="54F6A3DE" w:rsidR="001F79E7" w:rsidRPr="001F79E7" w:rsidRDefault="001F79E7" w:rsidP="00832C2D">
      <w:pPr>
        <w:pBdr>
          <w:top w:val="single" w:sz="48" w:space="3" w:color="33C1D7"/>
          <w:left w:val="single" w:sz="48" w:space="13" w:color="33C1D7"/>
          <w:bottom w:val="single" w:sz="48" w:space="6" w:color="33C1D7"/>
          <w:right w:val="single" w:sz="48" w:space="8" w:color="33C1D7"/>
        </w:pBdr>
        <w:ind w:left="360" w:right="284"/>
        <w:rPr>
          <w:rFonts w:ascii="Calibri" w:eastAsia="Calibri" w:hAnsi="Calibri" w:cs="Times New Roman"/>
          <w:szCs w:val="20"/>
        </w:rPr>
      </w:pPr>
      <w:r w:rsidRPr="001F79E7">
        <w:rPr>
          <w:rFonts w:ascii="Calibri" w:eastAsia="Calibri" w:hAnsi="Calibri" w:cs="Times New Roman"/>
          <w:szCs w:val="20"/>
        </w:rPr>
        <w:t xml:space="preserve">The employer </w:t>
      </w:r>
      <w:r w:rsidR="001C01B4">
        <w:rPr>
          <w:rFonts w:ascii="Calibri" w:eastAsia="Calibri" w:hAnsi="Calibri" w:cs="Times New Roman"/>
          <w:szCs w:val="20"/>
        </w:rPr>
        <w:t xml:space="preserve">underpaid </w:t>
      </w:r>
      <w:r w:rsidRPr="001F79E7">
        <w:rPr>
          <w:rFonts w:ascii="Calibri" w:eastAsia="Calibri" w:hAnsi="Calibri" w:cs="Times New Roman"/>
          <w:szCs w:val="20"/>
        </w:rPr>
        <w:t xml:space="preserve">casual staff </w:t>
      </w:r>
      <w:r w:rsidR="001C01B4">
        <w:rPr>
          <w:rFonts w:ascii="Calibri" w:eastAsia="Calibri" w:hAnsi="Calibri" w:cs="Times New Roman"/>
          <w:szCs w:val="20"/>
        </w:rPr>
        <w:t>b</w:t>
      </w:r>
      <w:r w:rsidR="003D73A8">
        <w:rPr>
          <w:rFonts w:ascii="Calibri" w:eastAsia="Calibri" w:hAnsi="Calibri" w:cs="Times New Roman"/>
          <w:szCs w:val="20"/>
        </w:rPr>
        <w:t>oth the</w:t>
      </w:r>
      <w:r w:rsidR="001C01B4">
        <w:rPr>
          <w:rFonts w:ascii="Calibri" w:eastAsia="Calibri" w:hAnsi="Calibri" w:cs="Times New Roman"/>
          <w:szCs w:val="20"/>
        </w:rPr>
        <w:t xml:space="preserve"> ordinary</w:t>
      </w:r>
      <w:r w:rsidRPr="001F79E7">
        <w:rPr>
          <w:rFonts w:ascii="Calibri" w:eastAsia="Calibri" w:hAnsi="Calibri" w:cs="Times New Roman"/>
          <w:szCs w:val="20"/>
        </w:rPr>
        <w:t xml:space="preserve"> hourly and penalty rates set out in the </w:t>
      </w:r>
      <w:r w:rsidRPr="00832C2D">
        <w:rPr>
          <w:rFonts w:ascii="Calibri" w:eastAsia="Calibri" w:hAnsi="Calibri" w:cs="Times New Roman"/>
          <w:i/>
          <w:szCs w:val="20"/>
        </w:rPr>
        <w:t>Fast Food Award 2010</w:t>
      </w:r>
      <w:r w:rsidRPr="001F79E7">
        <w:rPr>
          <w:rFonts w:ascii="Calibri" w:eastAsia="Calibri" w:hAnsi="Calibri" w:cs="Times New Roman"/>
          <w:szCs w:val="20"/>
        </w:rPr>
        <w:t xml:space="preserve"> (the Award). Six employees, including international students from Taiwan and China, were underpaid $</w:t>
      </w:r>
      <w:r w:rsidR="004C32C9">
        <w:rPr>
          <w:rFonts w:ascii="Calibri" w:eastAsia="Calibri" w:hAnsi="Calibri" w:cs="Times New Roman"/>
          <w:szCs w:val="20"/>
        </w:rPr>
        <w:t>5</w:t>
      </w:r>
      <w:r w:rsidRPr="001F79E7">
        <w:rPr>
          <w:rFonts w:ascii="Calibri" w:eastAsia="Calibri" w:hAnsi="Calibri" w:cs="Times New Roman"/>
          <w:szCs w:val="20"/>
        </w:rPr>
        <w:t>122. The employer also failed to issue pay slips or keep accurate time and wage records.</w:t>
      </w:r>
    </w:p>
    <w:p w14:paraId="15413394" w14:textId="2897B8F6" w:rsidR="00986129" w:rsidRDefault="001F79E7" w:rsidP="00832C2D">
      <w:pPr>
        <w:pBdr>
          <w:top w:val="single" w:sz="48" w:space="3" w:color="33C1D7"/>
          <w:left w:val="single" w:sz="48" w:space="13" w:color="33C1D7"/>
          <w:bottom w:val="single" w:sz="48" w:space="6" w:color="33C1D7"/>
          <w:right w:val="single" w:sz="48" w:space="8" w:color="33C1D7"/>
        </w:pBdr>
        <w:ind w:left="360" w:right="284"/>
        <w:rPr>
          <w:rFonts w:ascii="Calibri" w:eastAsia="Calibri" w:hAnsi="Calibri" w:cs="Times New Roman"/>
          <w:szCs w:val="20"/>
        </w:rPr>
      </w:pPr>
      <w:r w:rsidRPr="001F79E7">
        <w:rPr>
          <w:rFonts w:ascii="Calibri" w:eastAsia="Calibri" w:hAnsi="Calibri" w:cs="Times New Roman"/>
          <w:szCs w:val="20"/>
        </w:rPr>
        <w:t>The business owners were migrants with limited awareness of Australian workplace laws. The FWO determined their non-compliance was the result of genuine misunderstanding</w:t>
      </w:r>
      <w:r w:rsidR="00DF69A5">
        <w:rPr>
          <w:rFonts w:ascii="Calibri" w:eastAsia="Calibri" w:hAnsi="Calibri" w:cs="Times New Roman"/>
          <w:szCs w:val="20"/>
        </w:rPr>
        <w:t xml:space="preserve"> and a failure</w:t>
      </w:r>
      <w:r w:rsidRPr="001F79E7">
        <w:rPr>
          <w:rFonts w:ascii="Calibri" w:eastAsia="Calibri" w:hAnsi="Calibri" w:cs="Times New Roman"/>
          <w:szCs w:val="20"/>
        </w:rPr>
        <w:t xml:space="preserve"> </w:t>
      </w:r>
      <w:r w:rsidR="00F16266">
        <w:rPr>
          <w:rFonts w:ascii="Calibri" w:eastAsia="Calibri" w:hAnsi="Calibri" w:cs="Times New Roman"/>
          <w:szCs w:val="20"/>
        </w:rPr>
        <w:t xml:space="preserve">to </w:t>
      </w:r>
      <w:r w:rsidR="00DF69A5">
        <w:rPr>
          <w:rFonts w:ascii="Calibri" w:eastAsia="Calibri" w:hAnsi="Calibri" w:cs="Times New Roman"/>
          <w:szCs w:val="20"/>
        </w:rPr>
        <w:t>inquire into their workplace</w:t>
      </w:r>
      <w:r w:rsidRPr="001F79E7">
        <w:rPr>
          <w:rFonts w:ascii="Calibri" w:eastAsia="Calibri" w:hAnsi="Calibri" w:cs="Times New Roman"/>
          <w:szCs w:val="20"/>
        </w:rPr>
        <w:t xml:space="preserve"> </w:t>
      </w:r>
      <w:r w:rsidR="00DF69A5">
        <w:rPr>
          <w:rFonts w:ascii="Calibri" w:eastAsia="Calibri" w:hAnsi="Calibri" w:cs="Times New Roman"/>
          <w:szCs w:val="20"/>
        </w:rPr>
        <w:t xml:space="preserve">relations </w:t>
      </w:r>
      <w:r w:rsidRPr="001F79E7">
        <w:rPr>
          <w:rFonts w:ascii="Calibri" w:eastAsia="Calibri" w:hAnsi="Calibri" w:cs="Times New Roman"/>
          <w:szCs w:val="20"/>
        </w:rPr>
        <w:t xml:space="preserve">obligations. </w:t>
      </w:r>
    </w:p>
    <w:p w14:paraId="01646B78" w14:textId="4C184AFF" w:rsidR="001F79E7" w:rsidRPr="001F79E7" w:rsidRDefault="00986129" w:rsidP="0025049D">
      <w:pPr>
        <w:pBdr>
          <w:top w:val="single" w:sz="48" w:space="3" w:color="33C1D7"/>
          <w:left w:val="single" w:sz="48" w:space="13" w:color="33C1D7"/>
          <w:bottom w:val="single" w:sz="48" w:space="6" w:color="33C1D7"/>
          <w:right w:val="single" w:sz="48" w:space="8" w:color="33C1D7"/>
        </w:pBdr>
        <w:ind w:left="360" w:right="284"/>
        <w:rPr>
          <w:rFonts w:ascii="Calibri" w:eastAsia="Calibri" w:hAnsi="Calibri" w:cs="Times New Roman"/>
          <w:szCs w:val="20"/>
        </w:rPr>
      </w:pPr>
      <w:r>
        <w:rPr>
          <w:rFonts w:ascii="Calibri" w:eastAsia="Calibri" w:hAnsi="Calibri" w:cs="Times New Roman"/>
          <w:szCs w:val="20"/>
        </w:rPr>
        <w:t>The employers</w:t>
      </w:r>
      <w:r w:rsidR="001F79E7" w:rsidRPr="001F79E7">
        <w:rPr>
          <w:rFonts w:ascii="Calibri" w:eastAsia="Calibri" w:hAnsi="Calibri" w:cs="Times New Roman"/>
          <w:szCs w:val="20"/>
        </w:rPr>
        <w:t xml:space="preserve"> acknowledged the seriousness of the </w:t>
      </w:r>
      <w:r>
        <w:rPr>
          <w:rFonts w:ascii="Calibri" w:eastAsia="Calibri" w:hAnsi="Calibri" w:cs="Times New Roman"/>
          <w:szCs w:val="20"/>
        </w:rPr>
        <w:t>breaches</w:t>
      </w:r>
      <w:r w:rsidR="001F79E7" w:rsidRPr="001F79E7">
        <w:rPr>
          <w:rFonts w:ascii="Calibri" w:eastAsia="Calibri" w:hAnsi="Calibri" w:cs="Times New Roman"/>
          <w:szCs w:val="20"/>
        </w:rPr>
        <w:t xml:space="preserve"> and expressed </w:t>
      </w:r>
      <w:r>
        <w:rPr>
          <w:rFonts w:ascii="Calibri" w:eastAsia="Calibri" w:hAnsi="Calibri" w:cs="Times New Roman"/>
          <w:szCs w:val="20"/>
        </w:rPr>
        <w:t xml:space="preserve">their </w:t>
      </w:r>
      <w:r w:rsidR="001F79E7" w:rsidRPr="001F79E7">
        <w:rPr>
          <w:rFonts w:ascii="Calibri" w:eastAsia="Calibri" w:hAnsi="Calibri" w:cs="Times New Roman"/>
          <w:szCs w:val="20"/>
        </w:rPr>
        <w:t>willingness to cooperate with the FW</w:t>
      </w:r>
      <w:r w:rsidR="003D73A8">
        <w:rPr>
          <w:rFonts w:ascii="Calibri" w:eastAsia="Calibri" w:hAnsi="Calibri" w:cs="Times New Roman"/>
          <w:szCs w:val="20"/>
        </w:rPr>
        <w:t>O to achieve lasting compliance by entering into</w:t>
      </w:r>
      <w:r w:rsidR="007D09C9">
        <w:rPr>
          <w:rFonts w:ascii="Calibri" w:eastAsia="Calibri" w:hAnsi="Calibri" w:cs="Times New Roman"/>
          <w:szCs w:val="20"/>
        </w:rPr>
        <w:t xml:space="preserve"> an</w:t>
      </w:r>
      <w:r w:rsidR="003D73A8">
        <w:rPr>
          <w:rFonts w:ascii="Calibri" w:eastAsia="Calibri" w:hAnsi="Calibri" w:cs="Times New Roman"/>
          <w:szCs w:val="20"/>
        </w:rPr>
        <w:t xml:space="preserve"> </w:t>
      </w:r>
      <w:hyperlink r:id="rId9" w:history="1">
        <w:r w:rsidR="00E56DFF" w:rsidRPr="00E56DFF">
          <w:rPr>
            <w:rStyle w:val="Hyperlink"/>
            <w:rFonts w:ascii="Calibri" w:eastAsia="Calibri" w:hAnsi="Calibri"/>
            <w:szCs w:val="20"/>
          </w:rPr>
          <w:t>Enforceable Undertaking</w:t>
        </w:r>
      </w:hyperlink>
      <w:r w:rsidR="0025049D">
        <w:rPr>
          <w:rFonts w:ascii="Calibri" w:eastAsia="Calibri" w:hAnsi="Calibri" w:cs="Times New Roman"/>
          <w:szCs w:val="20"/>
        </w:rPr>
        <w:t xml:space="preserve"> </w:t>
      </w:r>
      <w:r w:rsidR="001F79E7" w:rsidRPr="001F79E7">
        <w:rPr>
          <w:rFonts w:ascii="Calibri" w:eastAsia="Calibri" w:hAnsi="Calibri" w:cs="Times New Roman"/>
          <w:szCs w:val="20"/>
        </w:rPr>
        <w:t>with the FWO that required them to:</w:t>
      </w:r>
    </w:p>
    <w:p w14:paraId="047B7EA3" w14:textId="77777777" w:rsidR="001F79E7" w:rsidRPr="001F79E7" w:rsidRDefault="001F79E7" w:rsidP="00913914">
      <w:pPr>
        <w:numPr>
          <w:ilvl w:val="0"/>
          <w:numId w:val="47"/>
        </w:numPr>
        <w:pBdr>
          <w:top w:val="single" w:sz="48" w:space="3" w:color="33C1D7"/>
          <w:left w:val="single" w:sz="48" w:space="13" w:color="33C1D7"/>
          <w:bottom w:val="single" w:sz="48" w:space="6" w:color="33C1D7"/>
          <w:right w:val="single" w:sz="48" w:space="8" w:color="33C1D7"/>
        </w:pBdr>
        <w:spacing w:line="259" w:lineRule="auto"/>
        <w:ind w:right="284"/>
        <w:rPr>
          <w:rFonts w:ascii="Calibri" w:eastAsia="Calibri" w:hAnsi="Calibri" w:cs="Times New Roman"/>
          <w:szCs w:val="20"/>
        </w:rPr>
      </w:pPr>
      <w:r w:rsidRPr="001F79E7">
        <w:rPr>
          <w:rFonts w:ascii="Calibri" w:eastAsia="Calibri" w:hAnsi="Calibri" w:cs="Times New Roman"/>
          <w:szCs w:val="20"/>
        </w:rPr>
        <w:t xml:space="preserve">rectify all underpayments </w:t>
      </w:r>
    </w:p>
    <w:p w14:paraId="10B5F4DB" w14:textId="77777777" w:rsidR="001F79E7" w:rsidRPr="001F79E7" w:rsidRDefault="001F79E7" w:rsidP="00913914">
      <w:pPr>
        <w:numPr>
          <w:ilvl w:val="0"/>
          <w:numId w:val="47"/>
        </w:numPr>
        <w:pBdr>
          <w:top w:val="single" w:sz="48" w:space="3" w:color="33C1D7"/>
          <w:left w:val="single" w:sz="48" w:space="13" w:color="33C1D7"/>
          <w:bottom w:val="single" w:sz="48" w:space="6" w:color="33C1D7"/>
          <w:right w:val="single" w:sz="48" w:space="8" w:color="33C1D7"/>
        </w:pBdr>
        <w:spacing w:line="259" w:lineRule="auto"/>
        <w:ind w:right="284"/>
        <w:rPr>
          <w:rFonts w:ascii="Calibri" w:eastAsia="Calibri" w:hAnsi="Calibri" w:cs="Times New Roman"/>
          <w:szCs w:val="20"/>
        </w:rPr>
      </w:pPr>
      <w:r w:rsidRPr="001F79E7">
        <w:rPr>
          <w:rFonts w:ascii="Calibri" w:eastAsia="Calibri" w:hAnsi="Calibri" w:cs="Times New Roman"/>
          <w:szCs w:val="20"/>
        </w:rPr>
        <w:t>conduct self-audits</w:t>
      </w:r>
    </w:p>
    <w:p w14:paraId="2F7F3907" w14:textId="77777777" w:rsidR="001F79E7" w:rsidRPr="001F79E7" w:rsidRDefault="001F79E7" w:rsidP="00913914">
      <w:pPr>
        <w:numPr>
          <w:ilvl w:val="0"/>
          <w:numId w:val="47"/>
        </w:numPr>
        <w:pBdr>
          <w:top w:val="single" w:sz="48" w:space="3" w:color="33C1D7"/>
          <w:left w:val="single" w:sz="48" w:space="13" w:color="33C1D7"/>
          <w:bottom w:val="single" w:sz="48" w:space="6" w:color="33C1D7"/>
          <w:right w:val="single" w:sz="48" w:space="8" w:color="33C1D7"/>
        </w:pBdr>
        <w:spacing w:line="259" w:lineRule="auto"/>
        <w:ind w:right="284"/>
        <w:rPr>
          <w:rFonts w:ascii="Calibri" w:eastAsia="Calibri" w:hAnsi="Calibri" w:cs="Times New Roman"/>
          <w:szCs w:val="20"/>
        </w:rPr>
      </w:pPr>
      <w:r w:rsidRPr="001F79E7">
        <w:rPr>
          <w:rFonts w:ascii="Calibri" w:eastAsia="Calibri" w:hAnsi="Calibri" w:cs="Times New Roman"/>
          <w:szCs w:val="20"/>
        </w:rPr>
        <w:t xml:space="preserve">notify their employees about the Enforceable Undertaking  </w:t>
      </w:r>
    </w:p>
    <w:p w14:paraId="3EBB9658" w14:textId="5F9F8983" w:rsidR="001F79E7" w:rsidRPr="001F79E7" w:rsidRDefault="001F79E7" w:rsidP="00913914">
      <w:pPr>
        <w:numPr>
          <w:ilvl w:val="0"/>
          <w:numId w:val="47"/>
        </w:numPr>
        <w:pBdr>
          <w:top w:val="single" w:sz="48" w:space="3" w:color="33C1D7"/>
          <w:left w:val="single" w:sz="48" w:space="13" w:color="33C1D7"/>
          <w:bottom w:val="single" w:sz="48" w:space="6" w:color="33C1D7"/>
          <w:right w:val="single" w:sz="48" w:space="8" w:color="33C1D7"/>
        </w:pBdr>
        <w:spacing w:line="259" w:lineRule="auto"/>
        <w:ind w:right="284"/>
        <w:rPr>
          <w:rFonts w:ascii="Calibri" w:eastAsia="Calibri" w:hAnsi="Calibri" w:cs="Times New Roman"/>
          <w:szCs w:val="20"/>
        </w:rPr>
      </w:pPr>
      <w:r w:rsidRPr="001F79E7">
        <w:rPr>
          <w:rFonts w:ascii="Calibri" w:eastAsia="Calibri" w:hAnsi="Calibri" w:cs="Times New Roman"/>
          <w:szCs w:val="20"/>
        </w:rPr>
        <w:t xml:space="preserve">register for FWO’s My account </w:t>
      </w:r>
    </w:p>
    <w:p w14:paraId="2E24151A" w14:textId="77777777" w:rsidR="00913914" w:rsidRPr="00913914" w:rsidRDefault="001F79E7" w:rsidP="00913914">
      <w:pPr>
        <w:numPr>
          <w:ilvl w:val="0"/>
          <w:numId w:val="47"/>
        </w:numPr>
        <w:pBdr>
          <w:top w:val="single" w:sz="48" w:space="3" w:color="33C1D7"/>
          <w:left w:val="single" w:sz="48" w:space="13" w:color="33C1D7"/>
          <w:bottom w:val="single" w:sz="48" w:space="6" w:color="33C1D7"/>
          <w:right w:val="single" w:sz="48" w:space="8" w:color="33C1D7"/>
        </w:pBdr>
        <w:spacing w:line="259" w:lineRule="auto"/>
        <w:ind w:right="284"/>
        <w:rPr>
          <w:rFonts w:ascii="Calibri" w:eastAsia="Calibri" w:hAnsi="Calibri" w:cs="Times New Roman"/>
          <w:b/>
          <w:szCs w:val="20"/>
        </w:rPr>
      </w:pPr>
      <w:proofErr w:type="gramStart"/>
      <w:r w:rsidRPr="001F79E7">
        <w:rPr>
          <w:rFonts w:ascii="Calibri" w:eastAsia="Calibri" w:hAnsi="Calibri" w:cs="Times New Roman"/>
          <w:szCs w:val="20"/>
        </w:rPr>
        <w:t>complete</w:t>
      </w:r>
      <w:proofErr w:type="gramEnd"/>
      <w:r w:rsidRPr="001F79E7">
        <w:rPr>
          <w:rFonts w:ascii="Calibri" w:eastAsia="Calibri" w:hAnsi="Calibri" w:cs="Times New Roman"/>
          <w:szCs w:val="20"/>
        </w:rPr>
        <w:t xml:space="preserve"> workplace relations training on the Act and the Award.</w:t>
      </w:r>
    </w:p>
    <w:p w14:paraId="3D8380FD" w14:textId="7B0C85F9" w:rsidR="001F79E7" w:rsidRPr="00832C2D" w:rsidRDefault="001F79E7" w:rsidP="00913914">
      <w:pPr>
        <w:pBdr>
          <w:top w:val="single" w:sz="48" w:space="3" w:color="33C1D7"/>
          <w:left w:val="single" w:sz="48" w:space="13" w:color="33C1D7"/>
          <w:bottom w:val="single" w:sz="48" w:space="6" w:color="33C1D7"/>
          <w:right w:val="single" w:sz="48" w:space="8" w:color="33C1D7"/>
        </w:pBdr>
        <w:spacing w:line="259" w:lineRule="auto"/>
        <w:ind w:left="360" w:right="284"/>
        <w:rPr>
          <w:rFonts w:ascii="Calibri" w:eastAsia="Calibri" w:hAnsi="Calibri" w:cs="Times New Roman"/>
          <w:b/>
          <w:szCs w:val="20"/>
        </w:rPr>
      </w:pPr>
      <w:r>
        <w:rPr>
          <w:rFonts w:ascii="Calibri" w:eastAsia="Calibri" w:hAnsi="Calibri" w:cs="Times New Roman"/>
          <w:szCs w:val="20"/>
        </w:rPr>
        <w:t>The business</w:t>
      </w:r>
      <w:r w:rsidRPr="001F79E7">
        <w:rPr>
          <w:rFonts w:ascii="Calibri" w:eastAsia="Calibri" w:hAnsi="Calibri" w:cs="Times New Roman"/>
          <w:szCs w:val="20"/>
        </w:rPr>
        <w:t xml:space="preserve"> </w:t>
      </w:r>
      <w:r w:rsidR="003D73A8">
        <w:rPr>
          <w:rFonts w:ascii="Calibri" w:eastAsia="Calibri" w:hAnsi="Calibri" w:cs="Times New Roman"/>
          <w:szCs w:val="20"/>
        </w:rPr>
        <w:t xml:space="preserve">has </w:t>
      </w:r>
      <w:r w:rsidRPr="001F79E7">
        <w:rPr>
          <w:rFonts w:ascii="Calibri" w:eastAsia="Calibri" w:hAnsi="Calibri" w:cs="Times New Roman"/>
          <w:szCs w:val="20"/>
        </w:rPr>
        <w:t>met all of the obligations required by the Enforceable Undertaking</w:t>
      </w:r>
      <w:r>
        <w:rPr>
          <w:rFonts w:ascii="Calibri" w:eastAsia="Calibri" w:hAnsi="Calibri" w:cs="Times New Roman"/>
          <w:szCs w:val="20"/>
        </w:rPr>
        <w:t>.</w:t>
      </w:r>
    </w:p>
    <w:p w14:paraId="22CE0CFD" w14:textId="77777777" w:rsidR="0025049D" w:rsidRDefault="0025049D" w:rsidP="0055136D">
      <w:pPr>
        <w:pStyle w:val="Heading2"/>
      </w:pPr>
      <w:bookmarkStart w:id="78" w:name="_Toc526855141"/>
      <w:bookmarkStart w:id="79" w:name="_Toc527447244"/>
      <w:bookmarkStart w:id="80" w:name="_Toc528058404"/>
      <w:bookmarkStart w:id="81" w:name="_Toc528060230"/>
      <w:r>
        <w:br w:type="page"/>
      </w:r>
    </w:p>
    <w:p w14:paraId="79D33C9D" w14:textId="492014B8" w:rsidR="00133B24" w:rsidRDefault="00DF2304" w:rsidP="0055136D">
      <w:pPr>
        <w:pStyle w:val="Heading2"/>
      </w:pPr>
      <w:bookmarkStart w:id="82" w:name="_Toc529352627"/>
      <w:r>
        <w:lastRenderedPageBreak/>
        <w:t>Litigation</w:t>
      </w:r>
      <w:bookmarkEnd w:id="78"/>
      <w:r w:rsidR="00133B24">
        <w:t>s</w:t>
      </w:r>
      <w:bookmarkEnd w:id="79"/>
      <w:bookmarkEnd w:id="80"/>
      <w:bookmarkEnd w:id="81"/>
      <w:bookmarkEnd w:id="82"/>
      <w:r w:rsidR="00133B24">
        <w:t xml:space="preserve"> </w:t>
      </w:r>
    </w:p>
    <w:p w14:paraId="37C95DF4" w14:textId="2616BC5F" w:rsidR="00133B24" w:rsidRDefault="00133B24" w:rsidP="007E6AF9">
      <w:pPr>
        <w:spacing w:after="0"/>
        <w:jc w:val="both"/>
        <w:rPr>
          <w:rFonts w:ascii="Helvetica" w:hAnsi="Helvetica"/>
        </w:rPr>
      </w:pPr>
      <w:r>
        <w:t>The FWO responds to serious instances of non-compliance by taking employers to court to enforce the law and to seek penalties. These cases typically involve a combination of the following:</w:t>
      </w:r>
    </w:p>
    <w:p w14:paraId="43262A7D" w14:textId="77777777" w:rsidR="00133B24" w:rsidRDefault="00133B24" w:rsidP="007E6AF9">
      <w:pPr>
        <w:pStyle w:val="Bullet"/>
        <w:jc w:val="both"/>
      </w:pPr>
      <w:r>
        <w:t xml:space="preserve">deliberate non-compliance </w:t>
      </w:r>
    </w:p>
    <w:p w14:paraId="2A38D6E0" w14:textId="77777777" w:rsidR="00133B24" w:rsidRDefault="00133B24" w:rsidP="007E6AF9">
      <w:pPr>
        <w:pStyle w:val="Bullet"/>
        <w:jc w:val="both"/>
      </w:pPr>
      <w:r>
        <w:t>exploitation of vulnerable workers</w:t>
      </w:r>
    </w:p>
    <w:p w14:paraId="61982491" w14:textId="5AA8C27D" w:rsidR="00090A58" w:rsidRDefault="00133B24" w:rsidP="007E6AF9">
      <w:pPr>
        <w:pStyle w:val="Bullet"/>
        <w:jc w:val="both"/>
      </w:pPr>
      <w:proofErr w:type="gramStart"/>
      <w:r>
        <w:t>failure</w:t>
      </w:r>
      <w:proofErr w:type="gramEnd"/>
      <w:r>
        <w:t xml:space="preserve"> to cooperate </w:t>
      </w:r>
      <w:r w:rsidR="0058246A">
        <w:t xml:space="preserve">with the regulator </w:t>
      </w:r>
      <w:r>
        <w:t>after being given opportunities to do so</w:t>
      </w:r>
      <w:r w:rsidR="0058246A">
        <w:t xml:space="preserve"> and advised of </w:t>
      </w:r>
      <w:r>
        <w:t xml:space="preserve">the consequences. </w:t>
      </w:r>
    </w:p>
    <w:p w14:paraId="6AB5DED6" w14:textId="77777777" w:rsidR="007023B8" w:rsidRDefault="007023B8" w:rsidP="007023B8">
      <w:pPr>
        <w:pStyle w:val="Calloutbox1"/>
        <w:rPr>
          <w:i/>
          <w:iCs/>
          <w:color w:val="000000"/>
        </w:rPr>
      </w:pPr>
      <w:r>
        <w:rPr>
          <w:i/>
          <w:iCs/>
          <w:color w:val="000000"/>
        </w:rPr>
        <w:t xml:space="preserve">FWO v </w:t>
      </w:r>
      <w:proofErr w:type="spellStart"/>
      <w:r>
        <w:rPr>
          <w:i/>
          <w:iCs/>
          <w:color w:val="000000"/>
        </w:rPr>
        <w:t>Hongyen</w:t>
      </w:r>
      <w:proofErr w:type="spellEnd"/>
      <w:r>
        <w:rPr>
          <w:i/>
          <w:iCs/>
          <w:color w:val="000000"/>
        </w:rPr>
        <w:t xml:space="preserve"> Pty Ltd &amp; Anor </w:t>
      </w:r>
    </w:p>
    <w:p w14:paraId="5E32951A" w14:textId="16DC6083" w:rsidR="007023B8" w:rsidRPr="00DC7463" w:rsidRDefault="007023B8" w:rsidP="00DC7463">
      <w:pPr>
        <w:pStyle w:val="Calloutbox1"/>
        <w:rPr>
          <w:b w:val="0"/>
        </w:rPr>
      </w:pPr>
      <w:r w:rsidRPr="00DC7463">
        <w:rPr>
          <w:b w:val="0"/>
        </w:rPr>
        <w:t xml:space="preserve">Fair Work Inspectors first audited “Citi Nails”, a salon operating in Modbury, Adelaide, in 2012 as part of the National Hair and Beauty Campaign. Fair Work Inspectors identified that the employer underpaid the base hourly and weekend penalty rates of all staff. The FWO recovered $4353 for six nail technicians and educated the employer about the terms and conditions of the </w:t>
      </w:r>
      <w:r w:rsidRPr="00DC7463">
        <w:rPr>
          <w:b w:val="0"/>
          <w:i/>
        </w:rPr>
        <w:t>Hair and Beauty Industry Award 2010</w:t>
      </w:r>
      <w:r w:rsidRPr="00DC7463">
        <w:rPr>
          <w:b w:val="0"/>
        </w:rPr>
        <w:t xml:space="preserve"> (the Award). </w:t>
      </w:r>
    </w:p>
    <w:p w14:paraId="558EECB9" w14:textId="4C9B5BD8" w:rsidR="007023B8" w:rsidRPr="00DC7463" w:rsidRDefault="007023B8" w:rsidP="00DC7463">
      <w:pPr>
        <w:pStyle w:val="Calloutbox1"/>
        <w:rPr>
          <w:b w:val="0"/>
        </w:rPr>
      </w:pPr>
      <w:r w:rsidRPr="00DC7463">
        <w:rPr>
          <w:b w:val="0"/>
        </w:rPr>
        <w:t>Fair Work Inspectors re-audited the employer as part of the National Compliance Monitoring Campaign</w:t>
      </w:r>
      <w:r w:rsidR="007E6AF9" w:rsidRPr="00DC7463">
        <w:rPr>
          <w:b w:val="0"/>
        </w:rPr>
        <w:t xml:space="preserve"> #2 and </w:t>
      </w:r>
      <w:r w:rsidRPr="00DC7463">
        <w:rPr>
          <w:b w:val="0"/>
        </w:rPr>
        <w:t xml:space="preserve">identified multiple </w:t>
      </w:r>
      <w:r w:rsidR="007E6AF9" w:rsidRPr="00DC7463">
        <w:rPr>
          <w:b w:val="0"/>
        </w:rPr>
        <w:t>breaches of the Award including, failure to pay:</w:t>
      </w:r>
    </w:p>
    <w:p w14:paraId="671C4CB9" w14:textId="775F5E62" w:rsidR="007023B8" w:rsidRPr="00780966" w:rsidRDefault="007023B8" w:rsidP="00913914">
      <w:pPr>
        <w:pStyle w:val="Calloutbox1"/>
        <w:numPr>
          <w:ilvl w:val="0"/>
          <w:numId w:val="48"/>
        </w:numPr>
        <w:spacing w:after="0"/>
        <w:rPr>
          <w:b w:val="0"/>
        </w:rPr>
      </w:pPr>
      <w:r w:rsidRPr="00780966">
        <w:rPr>
          <w:b w:val="0"/>
        </w:rPr>
        <w:t>minimum pay rates</w:t>
      </w:r>
    </w:p>
    <w:p w14:paraId="43B8350A" w14:textId="6B717A0C" w:rsidR="007023B8" w:rsidRPr="00780966" w:rsidRDefault="007023B8" w:rsidP="00913914">
      <w:pPr>
        <w:pStyle w:val="Calloutbox1"/>
        <w:numPr>
          <w:ilvl w:val="0"/>
          <w:numId w:val="48"/>
        </w:numPr>
        <w:spacing w:after="0"/>
        <w:rPr>
          <w:b w:val="0"/>
        </w:rPr>
      </w:pPr>
      <w:r w:rsidRPr="00780966">
        <w:rPr>
          <w:b w:val="0"/>
        </w:rPr>
        <w:t>casual loading</w:t>
      </w:r>
    </w:p>
    <w:p w14:paraId="0CD7A6B0" w14:textId="4B59FE6A" w:rsidR="007023B8" w:rsidRPr="00780966" w:rsidRDefault="007023B8" w:rsidP="00913914">
      <w:pPr>
        <w:pStyle w:val="Calloutbox1"/>
        <w:numPr>
          <w:ilvl w:val="0"/>
          <w:numId w:val="48"/>
        </w:numPr>
        <w:spacing w:after="0"/>
        <w:rPr>
          <w:b w:val="0"/>
        </w:rPr>
      </w:pPr>
      <w:r w:rsidRPr="00780966">
        <w:rPr>
          <w:b w:val="0"/>
        </w:rPr>
        <w:t>weekend penalty rates</w:t>
      </w:r>
    </w:p>
    <w:p w14:paraId="3FBFC50A" w14:textId="4E2EA076" w:rsidR="007E6AF9" w:rsidRPr="007E6AF9" w:rsidRDefault="007E6AF9" w:rsidP="007E6AF9">
      <w:pPr>
        <w:pStyle w:val="Calloutbox1"/>
        <w:numPr>
          <w:ilvl w:val="0"/>
          <w:numId w:val="48"/>
        </w:numPr>
        <w:spacing w:after="0"/>
        <w:rPr>
          <w:b w:val="0"/>
        </w:rPr>
      </w:pPr>
      <w:r w:rsidRPr="007E6AF9">
        <w:rPr>
          <w:b w:val="0"/>
        </w:rPr>
        <w:t>a</w:t>
      </w:r>
      <w:r w:rsidR="007023B8" w:rsidRPr="007E6AF9">
        <w:rPr>
          <w:b w:val="0"/>
        </w:rPr>
        <w:t>nnual leave loading</w:t>
      </w:r>
    </w:p>
    <w:p w14:paraId="1E63D904" w14:textId="465CE4DC" w:rsidR="007023B8" w:rsidRPr="00780966" w:rsidRDefault="007023B8" w:rsidP="00964598">
      <w:pPr>
        <w:pStyle w:val="Calloutbox1"/>
        <w:spacing w:after="0"/>
        <w:rPr>
          <w:b w:val="0"/>
        </w:rPr>
      </w:pPr>
      <w:r w:rsidRPr="00780966">
        <w:rPr>
          <w:b w:val="0"/>
        </w:rPr>
        <w:t xml:space="preserve">Fair Work Inspectors recovered $7493 for five employees (one had </w:t>
      </w:r>
      <w:r w:rsidR="003840C4">
        <w:rPr>
          <w:b w:val="0"/>
        </w:rPr>
        <w:t xml:space="preserve">also </w:t>
      </w:r>
      <w:r w:rsidRPr="00780966">
        <w:rPr>
          <w:b w:val="0"/>
        </w:rPr>
        <w:t xml:space="preserve">been back-paid in the previous audit), and commenced legal proceedings in the Federal Circuit Court. </w:t>
      </w:r>
    </w:p>
    <w:p w14:paraId="77893BB3" w14:textId="22222214" w:rsidR="007023B8" w:rsidRPr="00780966" w:rsidRDefault="007023B8" w:rsidP="00964598">
      <w:pPr>
        <w:pStyle w:val="Calloutbox1"/>
        <w:spacing w:after="0"/>
        <w:rPr>
          <w:b w:val="0"/>
        </w:rPr>
      </w:pPr>
      <w:r w:rsidRPr="00780966">
        <w:rPr>
          <w:b w:val="0"/>
        </w:rPr>
        <w:t>The Court noted that the affected employees were vulnerable given the type of business in which they worked and their non-</w:t>
      </w:r>
      <w:r w:rsidR="00913914">
        <w:rPr>
          <w:b w:val="0"/>
        </w:rPr>
        <w:t>E</w:t>
      </w:r>
      <w:r w:rsidRPr="00780966">
        <w:rPr>
          <w:b w:val="0"/>
        </w:rPr>
        <w:t xml:space="preserve">nglish speaking backgrounds.  </w:t>
      </w:r>
    </w:p>
    <w:p w14:paraId="1DF1D76D" w14:textId="77777777" w:rsidR="00CE3BA4" w:rsidRDefault="007023B8" w:rsidP="00964598">
      <w:pPr>
        <w:pStyle w:val="Calloutbox1"/>
        <w:spacing w:after="0"/>
        <w:rPr>
          <w:b w:val="0"/>
        </w:rPr>
      </w:pPr>
      <w:r w:rsidRPr="00780966">
        <w:rPr>
          <w:b w:val="0"/>
        </w:rPr>
        <w:t xml:space="preserve">During the proceedings, the employer’s company, </w:t>
      </w:r>
      <w:proofErr w:type="spellStart"/>
      <w:r w:rsidRPr="00780966">
        <w:rPr>
          <w:b w:val="0"/>
        </w:rPr>
        <w:t>Hongyen</w:t>
      </w:r>
      <w:proofErr w:type="spellEnd"/>
      <w:r w:rsidRPr="00780966">
        <w:rPr>
          <w:b w:val="0"/>
        </w:rPr>
        <w:t xml:space="preserve"> Pty Ltd was placed in liquidation. However, the Court found </w:t>
      </w:r>
      <w:r w:rsidR="003840C4">
        <w:rPr>
          <w:b w:val="0"/>
        </w:rPr>
        <w:t xml:space="preserve">that </w:t>
      </w:r>
      <w:r w:rsidRPr="00780966">
        <w:rPr>
          <w:b w:val="0"/>
        </w:rPr>
        <w:t xml:space="preserve">the employer Albert Tran, as the company director, </w:t>
      </w:r>
      <w:r w:rsidR="003840C4">
        <w:rPr>
          <w:b w:val="0"/>
        </w:rPr>
        <w:t>was</w:t>
      </w:r>
      <w:r w:rsidRPr="00780966">
        <w:rPr>
          <w:b w:val="0"/>
        </w:rPr>
        <w:t xml:space="preserve"> personally liable for breaches involving minimum pay rate</w:t>
      </w:r>
      <w:r w:rsidR="003840C4">
        <w:rPr>
          <w:b w:val="0"/>
        </w:rPr>
        <w:t>s</w:t>
      </w:r>
      <w:r w:rsidRPr="00780966">
        <w:rPr>
          <w:b w:val="0"/>
        </w:rPr>
        <w:t>, casual loadings, rostering and the accrual of annual leave.</w:t>
      </w:r>
      <w:r w:rsidR="00964598" w:rsidRPr="00964598">
        <w:t xml:space="preserve"> </w:t>
      </w:r>
      <w:r w:rsidR="00964598" w:rsidRPr="00964598">
        <w:rPr>
          <w:b w:val="0"/>
        </w:rPr>
        <w:t xml:space="preserve">It noted that the employer was “in a situation where it must be inferred that he knew… his </w:t>
      </w:r>
    </w:p>
    <w:p w14:paraId="4BE71CE7" w14:textId="52799910" w:rsidR="00575AD3" w:rsidRDefault="00690262" w:rsidP="00964598">
      <w:pPr>
        <w:pStyle w:val="Calloutbox1"/>
        <w:spacing w:after="0"/>
        <w:rPr>
          <w:b w:val="0"/>
        </w:rPr>
      </w:pPr>
      <w:proofErr w:type="gramStart"/>
      <w:r>
        <w:rPr>
          <w:b w:val="0"/>
        </w:rPr>
        <w:t>o</w:t>
      </w:r>
      <w:r w:rsidR="00964598" w:rsidRPr="00964598">
        <w:rPr>
          <w:b w:val="0"/>
        </w:rPr>
        <w:t>bligations</w:t>
      </w:r>
      <w:proofErr w:type="gramEnd"/>
      <w:r w:rsidR="00964598" w:rsidRPr="00964598">
        <w:rPr>
          <w:b w:val="0"/>
        </w:rPr>
        <w:t xml:space="preserve">”, but that “he chose not to observe them”. </w:t>
      </w:r>
    </w:p>
    <w:p w14:paraId="66C44CA5" w14:textId="58AEFB2F" w:rsidR="003840C4" w:rsidRDefault="00964598" w:rsidP="00964598">
      <w:pPr>
        <w:pStyle w:val="Calloutbox1"/>
        <w:spacing w:after="0"/>
        <w:rPr>
          <w:b w:val="0"/>
        </w:rPr>
      </w:pPr>
      <w:r w:rsidRPr="00964598">
        <w:rPr>
          <w:b w:val="0"/>
        </w:rPr>
        <w:t>The Court issued the employer with a penalty of $10 560</w:t>
      </w:r>
      <w:r>
        <w:rPr>
          <w:b w:val="0"/>
        </w:rPr>
        <w:t>.</w:t>
      </w:r>
      <w:r w:rsidR="00690262">
        <w:rPr>
          <w:rStyle w:val="FootnoteReference"/>
          <w:b w:val="0"/>
        </w:rPr>
        <w:footnoteReference w:id="13"/>
      </w:r>
    </w:p>
    <w:p w14:paraId="55065E8B" w14:textId="77777777" w:rsidR="008F49EC" w:rsidRDefault="008F49EC">
      <w:pPr>
        <w:spacing w:after="0" w:line="240" w:lineRule="auto"/>
      </w:pPr>
      <w:r>
        <w:br w:type="page"/>
      </w:r>
    </w:p>
    <w:p w14:paraId="7D929C5B" w14:textId="3E36BD3B" w:rsidR="007023B8" w:rsidRDefault="00090A58" w:rsidP="008136E9">
      <w:r>
        <w:lastRenderedPageBreak/>
        <w:t xml:space="preserve">The following </w:t>
      </w:r>
      <w:r w:rsidR="00C91B00">
        <w:t xml:space="preserve">case is an example </w:t>
      </w:r>
      <w:r w:rsidR="007E6AF9">
        <w:t>where the</w:t>
      </w:r>
      <w:r w:rsidR="00CB4F0A">
        <w:t xml:space="preserve"> FWO had previously warned t</w:t>
      </w:r>
      <w:r w:rsidR="007E6AF9">
        <w:t>he</w:t>
      </w:r>
      <w:r w:rsidR="00CB4F0A">
        <w:t xml:space="preserve"> employer about the consequences of continuing non-compliance. Rather than change their workplace behaviours, the employer attempted to deceive the FWO. </w:t>
      </w:r>
    </w:p>
    <w:p w14:paraId="7C854B49" w14:textId="77777777" w:rsidR="00256022" w:rsidRPr="00832C2D" w:rsidRDefault="00256022">
      <w:pPr>
        <w:pStyle w:val="Calloutbox1"/>
        <w:rPr>
          <w:i/>
        </w:rPr>
      </w:pPr>
      <w:r w:rsidRPr="00832C2D">
        <w:rPr>
          <w:i/>
        </w:rPr>
        <w:t xml:space="preserve">FWO v Minh </w:t>
      </w:r>
      <w:proofErr w:type="spellStart"/>
      <w:r w:rsidRPr="00832C2D">
        <w:rPr>
          <w:i/>
        </w:rPr>
        <w:t>Gia</w:t>
      </w:r>
      <w:proofErr w:type="spellEnd"/>
      <w:r w:rsidRPr="00832C2D">
        <w:rPr>
          <w:i/>
        </w:rPr>
        <w:t xml:space="preserve"> Le &amp; House of Polish Central Pty Ltd</w:t>
      </w:r>
    </w:p>
    <w:p w14:paraId="20A63605" w14:textId="373359D9" w:rsidR="00256022" w:rsidRPr="00832C2D" w:rsidRDefault="000C51F7" w:rsidP="00964598">
      <w:pPr>
        <w:pStyle w:val="Calloutbox1"/>
        <w:spacing w:before="120"/>
        <w:rPr>
          <w:b w:val="0"/>
        </w:rPr>
      </w:pPr>
      <w:r>
        <w:rPr>
          <w:b w:val="0"/>
        </w:rPr>
        <w:t>Fair Work Inspectors</w:t>
      </w:r>
      <w:r w:rsidR="00256022" w:rsidRPr="00832C2D">
        <w:rPr>
          <w:b w:val="0"/>
        </w:rPr>
        <w:t xml:space="preserve"> investigated Adelaide nail salon, House of Polish, after receiving a request for assistance from a nail technician in December 2015. </w:t>
      </w:r>
    </w:p>
    <w:p w14:paraId="660D0E10" w14:textId="77777777" w:rsidR="007E6AF9" w:rsidRDefault="007E6AF9" w:rsidP="00964598">
      <w:pPr>
        <w:pStyle w:val="Calloutbox1"/>
        <w:spacing w:before="120"/>
        <w:rPr>
          <w:b w:val="0"/>
        </w:rPr>
      </w:pPr>
      <w:r>
        <w:rPr>
          <w:b w:val="0"/>
        </w:rPr>
        <w:t xml:space="preserve">Prior to that request, </w:t>
      </w:r>
      <w:r w:rsidR="008476CA" w:rsidRPr="00360BA8">
        <w:rPr>
          <w:b w:val="0"/>
        </w:rPr>
        <w:t>House of Polish</w:t>
      </w:r>
      <w:r w:rsidR="008476CA">
        <w:rPr>
          <w:b w:val="0"/>
        </w:rPr>
        <w:t>,</w:t>
      </w:r>
      <w:r w:rsidR="008476CA" w:rsidRPr="00266BAB" w:rsidDel="008476CA">
        <w:rPr>
          <w:b w:val="0"/>
        </w:rPr>
        <w:t xml:space="preserve"> </w:t>
      </w:r>
      <w:r w:rsidR="00256022" w:rsidRPr="00832C2D">
        <w:rPr>
          <w:b w:val="0"/>
        </w:rPr>
        <w:t xml:space="preserve">had previously been audited on two occasions. </w:t>
      </w:r>
    </w:p>
    <w:p w14:paraId="68862A7F" w14:textId="7D64F61B" w:rsidR="007E6AF9" w:rsidRDefault="00256022" w:rsidP="00964598">
      <w:pPr>
        <w:pStyle w:val="Calloutbox1"/>
        <w:spacing w:before="120"/>
        <w:rPr>
          <w:b w:val="0"/>
        </w:rPr>
      </w:pPr>
      <w:r w:rsidRPr="00832C2D">
        <w:rPr>
          <w:b w:val="0"/>
        </w:rPr>
        <w:t xml:space="preserve">In 2012, </w:t>
      </w:r>
      <w:r w:rsidR="000C51F7">
        <w:rPr>
          <w:b w:val="0"/>
        </w:rPr>
        <w:t>the FWO</w:t>
      </w:r>
      <w:r w:rsidRPr="00832C2D">
        <w:rPr>
          <w:b w:val="0"/>
        </w:rPr>
        <w:t xml:space="preserve"> recovered $1325 for six employees who were paid less than their minimum entitlements under the </w:t>
      </w:r>
      <w:r w:rsidRPr="00832C2D">
        <w:rPr>
          <w:b w:val="0"/>
          <w:i/>
        </w:rPr>
        <w:t>Hair and Beauty Award 2010</w:t>
      </w:r>
      <w:r w:rsidRPr="00832C2D">
        <w:rPr>
          <w:b w:val="0"/>
        </w:rPr>
        <w:t xml:space="preserve">. </w:t>
      </w:r>
    </w:p>
    <w:p w14:paraId="71304396" w14:textId="258EE3D0" w:rsidR="007F7EE0" w:rsidRDefault="007E6AF9" w:rsidP="007E6AF9">
      <w:pPr>
        <w:pStyle w:val="Calloutbox1"/>
        <w:spacing w:before="120"/>
        <w:rPr>
          <w:b w:val="0"/>
        </w:rPr>
      </w:pPr>
      <w:r>
        <w:rPr>
          <w:b w:val="0"/>
        </w:rPr>
        <w:t xml:space="preserve">In </w:t>
      </w:r>
      <w:r w:rsidR="00256022" w:rsidRPr="00832C2D">
        <w:rPr>
          <w:b w:val="0"/>
          <w:i/>
        </w:rPr>
        <w:t>National Compliance Monitoring Campaign</w:t>
      </w:r>
      <w:r w:rsidR="00256022" w:rsidRPr="00832C2D">
        <w:rPr>
          <w:b w:val="0"/>
        </w:rPr>
        <w:t xml:space="preserve"> </w:t>
      </w:r>
      <w:r>
        <w:rPr>
          <w:b w:val="0"/>
        </w:rPr>
        <w:t>#1, the FWO found o</w:t>
      </w:r>
      <w:r w:rsidR="00256022" w:rsidRPr="00832C2D">
        <w:rPr>
          <w:b w:val="0"/>
        </w:rPr>
        <w:t xml:space="preserve">ngoing underpayment </w:t>
      </w:r>
      <w:r>
        <w:rPr>
          <w:b w:val="0"/>
        </w:rPr>
        <w:t>breaches resulting</w:t>
      </w:r>
      <w:r w:rsidR="00256022" w:rsidRPr="00832C2D">
        <w:rPr>
          <w:b w:val="0"/>
        </w:rPr>
        <w:t xml:space="preserve"> in recoveries of $2844 for six staff.  </w:t>
      </w:r>
      <w:r w:rsidR="00256022" w:rsidRPr="00EF75C6">
        <w:rPr>
          <w:b w:val="0"/>
        </w:rPr>
        <w:t xml:space="preserve">The employer, Mr Le, was issued with a </w:t>
      </w:r>
      <w:r w:rsidR="00737CD4">
        <w:rPr>
          <w:b w:val="0"/>
        </w:rPr>
        <w:t>Formal C</w:t>
      </w:r>
      <w:r w:rsidR="00256022" w:rsidRPr="00EF75C6">
        <w:rPr>
          <w:b w:val="0"/>
        </w:rPr>
        <w:t xml:space="preserve">aution </w:t>
      </w:r>
      <w:r w:rsidR="007F7EE0">
        <w:rPr>
          <w:b w:val="0"/>
        </w:rPr>
        <w:t>and put on notice</w:t>
      </w:r>
      <w:r w:rsidR="00256022" w:rsidRPr="00EF75C6">
        <w:rPr>
          <w:b w:val="0"/>
        </w:rPr>
        <w:t xml:space="preserve"> that further </w:t>
      </w:r>
      <w:r>
        <w:rPr>
          <w:b w:val="0"/>
        </w:rPr>
        <w:t xml:space="preserve">breaches </w:t>
      </w:r>
      <w:r w:rsidR="00256022" w:rsidRPr="00EF75C6">
        <w:rPr>
          <w:b w:val="0"/>
        </w:rPr>
        <w:t xml:space="preserve">may result in legal proceedings. </w:t>
      </w:r>
    </w:p>
    <w:p w14:paraId="10B038D1" w14:textId="7788E925" w:rsidR="008476CA" w:rsidRDefault="007F7EE0" w:rsidP="007E6AF9">
      <w:pPr>
        <w:pStyle w:val="Calloutbox1"/>
        <w:spacing w:before="120"/>
        <w:rPr>
          <w:b w:val="0"/>
        </w:rPr>
      </w:pPr>
      <w:r>
        <w:rPr>
          <w:b w:val="0"/>
        </w:rPr>
        <w:t>I</w:t>
      </w:r>
      <w:r w:rsidR="0009122D">
        <w:rPr>
          <w:b w:val="0"/>
        </w:rPr>
        <w:t xml:space="preserve">n </w:t>
      </w:r>
      <w:r w:rsidR="0009122D" w:rsidRPr="00360BA8">
        <w:rPr>
          <w:b w:val="0"/>
        </w:rPr>
        <w:t>December 2015</w:t>
      </w:r>
      <w:r>
        <w:rPr>
          <w:b w:val="0"/>
        </w:rPr>
        <w:t>,</w:t>
      </w:r>
      <w:r w:rsidR="008476CA">
        <w:rPr>
          <w:b w:val="0"/>
        </w:rPr>
        <w:t xml:space="preserve"> the FWO received a R</w:t>
      </w:r>
      <w:r w:rsidR="00256022" w:rsidRPr="00832C2D">
        <w:rPr>
          <w:b w:val="0"/>
        </w:rPr>
        <w:t xml:space="preserve">equest for </w:t>
      </w:r>
      <w:r w:rsidR="008476CA">
        <w:rPr>
          <w:b w:val="0"/>
        </w:rPr>
        <w:t>A</w:t>
      </w:r>
      <w:r w:rsidR="00256022" w:rsidRPr="00832C2D">
        <w:rPr>
          <w:b w:val="0"/>
        </w:rPr>
        <w:t xml:space="preserve">ssistance </w:t>
      </w:r>
      <w:r w:rsidR="008476CA">
        <w:rPr>
          <w:b w:val="0"/>
        </w:rPr>
        <w:t>f</w:t>
      </w:r>
      <w:r w:rsidR="008476CA" w:rsidRPr="00360BA8">
        <w:rPr>
          <w:b w:val="0"/>
        </w:rPr>
        <w:t xml:space="preserve">rom a nail technician </w:t>
      </w:r>
      <w:r w:rsidR="0009122D">
        <w:rPr>
          <w:b w:val="0"/>
        </w:rPr>
        <w:t>that suggested Mr Le was continuing to break the law</w:t>
      </w:r>
      <w:r w:rsidR="008476CA">
        <w:rPr>
          <w:b w:val="0"/>
        </w:rPr>
        <w:t>,</w:t>
      </w:r>
      <w:r w:rsidR="008476CA" w:rsidRPr="00360BA8">
        <w:rPr>
          <w:b w:val="0"/>
        </w:rPr>
        <w:t xml:space="preserve"> </w:t>
      </w:r>
      <w:r w:rsidR="008476CA">
        <w:rPr>
          <w:b w:val="0"/>
        </w:rPr>
        <w:t>and</w:t>
      </w:r>
      <w:r w:rsidR="00256022" w:rsidRPr="00832C2D">
        <w:rPr>
          <w:b w:val="0"/>
        </w:rPr>
        <w:t xml:space="preserve"> commence</w:t>
      </w:r>
      <w:r w:rsidR="008476CA">
        <w:rPr>
          <w:b w:val="0"/>
        </w:rPr>
        <w:t>d</w:t>
      </w:r>
      <w:r w:rsidR="00256022" w:rsidRPr="00832C2D">
        <w:rPr>
          <w:b w:val="0"/>
        </w:rPr>
        <w:t xml:space="preserve"> an investigation.  </w:t>
      </w:r>
    </w:p>
    <w:p w14:paraId="53806D23" w14:textId="77777777" w:rsidR="00256022" w:rsidRPr="00832C2D" w:rsidRDefault="00256022" w:rsidP="00964598">
      <w:pPr>
        <w:pStyle w:val="Calloutbox1"/>
        <w:spacing w:before="120"/>
        <w:rPr>
          <w:b w:val="0"/>
        </w:rPr>
      </w:pPr>
      <w:r w:rsidRPr="00832C2D">
        <w:rPr>
          <w:b w:val="0"/>
        </w:rPr>
        <w:t xml:space="preserve">Mr Le did not cooperate with the </w:t>
      </w:r>
      <w:r w:rsidR="008476CA">
        <w:rPr>
          <w:b w:val="0"/>
        </w:rPr>
        <w:t>FWO</w:t>
      </w:r>
      <w:r w:rsidR="008476CA" w:rsidRPr="00832C2D">
        <w:rPr>
          <w:b w:val="0"/>
        </w:rPr>
        <w:t xml:space="preserve"> </w:t>
      </w:r>
      <w:r w:rsidRPr="00832C2D">
        <w:rPr>
          <w:b w:val="0"/>
        </w:rPr>
        <w:t xml:space="preserve">and supplied falsified records in an attempt to show his employees were receiving higher rates of pay. Through the course of the investigation, </w:t>
      </w:r>
      <w:r w:rsidR="008476CA">
        <w:rPr>
          <w:b w:val="0"/>
        </w:rPr>
        <w:t>the FWO</w:t>
      </w:r>
      <w:r w:rsidRPr="00832C2D">
        <w:rPr>
          <w:b w:val="0"/>
        </w:rPr>
        <w:t xml:space="preserve"> established that </w:t>
      </w:r>
      <w:r w:rsidR="008476CA">
        <w:rPr>
          <w:b w:val="0"/>
        </w:rPr>
        <w:t>Mr Le had</w:t>
      </w:r>
      <w:r w:rsidRPr="00832C2D">
        <w:rPr>
          <w:b w:val="0"/>
        </w:rPr>
        <w:t xml:space="preserve"> continu</w:t>
      </w:r>
      <w:r w:rsidR="008476CA">
        <w:rPr>
          <w:b w:val="0"/>
        </w:rPr>
        <w:t>ed to</w:t>
      </w:r>
      <w:r w:rsidRPr="00832C2D">
        <w:rPr>
          <w:b w:val="0"/>
        </w:rPr>
        <w:t xml:space="preserve"> pay </w:t>
      </w:r>
      <w:r w:rsidR="008476CA">
        <w:rPr>
          <w:b w:val="0"/>
        </w:rPr>
        <w:t>his</w:t>
      </w:r>
      <w:r w:rsidRPr="00832C2D">
        <w:rPr>
          <w:b w:val="0"/>
        </w:rPr>
        <w:t xml:space="preserve"> employees less than their minimum entitlements. </w:t>
      </w:r>
    </w:p>
    <w:p w14:paraId="00E7AEF0" w14:textId="18CEEA86" w:rsidR="00256022" w:rsidRPr="00832C2D" w:rsidRDefault="008476CA" w:rsidP="00964598">
      <w:pPr>
        <w:pStyle w:val="Calloutbox1"/>
        <w:spacing w:before="120"/>
        <w:rPr>
          <w:b w:val="0"/>
        </w:rPr>
      </w:pPr>
      <w:r>
        <w:rPr>
          <w:b w:val="0"/>
        </w:rPr>
        <w:t xml:space="preserve">The FWO </w:t>
      </w:r>
      <w:r w:rsidR="00256022" w:rsidRPr="00645EF4">
        <w:rPr>
          <w:b w:val="0"/>
        </w:rPr>
        <w:t xml:space="preserve">recovered </w:t>
      </w:r>
      <w:r w:rsidR="00256022" w:rsidRPr="00DC7463">
        <w:rPr>
          <w:b w:val="0"/>
        </w:rPr>
        <w:t>$53</w:t>
      </w:r>
      <w:r w:rsidR="007D09C9" w:rsidRPr="00DC7463">
        <w:rPr>
          <w:b w:val="0"/>
        </w:rPr>
        <w:t xml:space="preserve"> </w:t>
      </w:r>
      <w:r w:rsidR="00256022" w:rsidRPr="00DC7463">
        <w:rPr>
          <w:b w:val="0"/>
        </w:rPr>
        <w:t>021</w:t>
      </w:r>
      <w:r w:rsidR="00256022" w:rsidRPr="00645EF4">
        <w:rPr>
          <w:b w:val="0"/>
        </w:rPr>
        <w:t xml:space="preserve"> for two</w:t>
      </w:r>
      <w:r w:rsidR="00256022" w:rsidRPr="00832C2D">
        <w:rPr>
          <w:b w:val="0"/>
        </w:rPr>
        <w:t xml:space="preserve"> migrant workers of the business, who had </w:t>
      </w:r>
      <w:r w:rsidR="00DD5F80">
        <w:rPr>
          <w:b w:val="0"/>
        </w:rPr>
        <w:t>limited</w:t>
      </w:r>
      <w:r w:rsidR="00DD5F80" w:rsidRPr="00832C2D">
        <w:rPr>
          <w:b w:val="0"/>
        </w:rPr>
        <w:t xml:space="preserve"> </w:t>
      </w:r>
      <w:r w:rsidR="00256022" w:rsidRPr="00832C2D">
        <w:rPr>
          <w:b w:val="0"/>
        </w:rPr>
        <w:t>understanding of their workplace rights</w:t>
      </w:r>
      <w:r>
        <w:rPr>
          <w:b w:val="0"/>
        </w:rPr>
        <w:t>,</w:t>
      </w:r>
      <w:r w:rsidR="00256022" w:rsidRPr="00832C2D">
        <w:rPr>
          <w:b w:val="0"/>
        </w:rPr>
        <w:t xml:space="preserve"> and commenced legal proceedings in the Federal Circuit Court</w:t>
      </w:r>
      <w:r w:rsidR="00DD5F80">
        <w:rPr>
          <w:b w:val="0"/>
        </w:rPr>
        <w:t>.</w:t>
      </w:r>
      <w:r w:rsidR="00256022" w:rsidRPr="00832C2D">
        <w:rPr>
          <w:b w:val="0"/>
        </w:rPr>
        <w:t xml:space="preserve">  </w:t>
      </w:r>
    </w:p>
    <w:p w14:paraId="532ECAC9" w14:textId="1B6CC325" w:rsidR="00256022" w:rsidRPr="00832C2D" w:rsidRDefault="00256022" w:rsidP="00964598">
      <w:pPr>
        <w:pStyle w:val="Calloutbox1"/>
        <w:spacing w:before="120"/>
        <w:rPr>
          <w:b w:val="0"/>
        </w:rPr>
      </w:pPr>
      <w:r w:rsidRPr="00832C2D">
        <w:rPr>
          <w:b w:val="0"/>
        </w:rPr>
        <w:t xml:space="preserve">The Court found that after two previous encounters with the FWO, Mr Le ‘was aware of his responsibilities’. It also described the employer’s deliberate attempt to deceive the FWO as an </w:t>
      </w:r>
      <w:r w:rsidR="00690262">
        <w:rPr>
          <w:b w:val="0"/>
        </w:rPr>
        <w:t>‘</w:t>
      </w:r>
      <w:r w:rsidRPr="00832C2D">
        <w:rPr>
          <w:b w:val="0"/>
        </w:rPr>
        <w:t xml:space="preserve">elaborate sham’ that ‘worsened the offending’. </w:t>
      </w:r>
    </w:p>
    <w:p w14:paraId="45265132" w14:textId="197446D3" w:rsidR="00256022" w:rsidRDefault="00256022" w:rsidP="00964598">
      <w:pPr>
        <w:pStyle w:val="Calloutbox1"/>
        <w:spacing w:before="120"/>
        <w:rPr>
          <w:b w:val="0"/>
        </w:rPr>
      </w:pPr>
      <w:r w:rsidRPr="00832C2D">
        <w:rPr>
          <w:b w:val="0"/>
        </w:rPr>
        <w:t xml:space="preserve">The court imposed penalties of $30 000 against Mr Le, and $100 000 against his company, House of Polish Central Pty Ltd. Mr Le was also required to register for the FWO’s My Account and complete </w:t>
      </w:r>
      <w:r w:rsidR="008476CA">
        <w:rPr>
          <w:b w:val="0"/>
        </w:rPr>
        <w:t>the FWO’s</w:t>
      </w:r>
      <w:r w:rsidR="008476CA" w:rsidRPr="00832C2D">
        <w:rPr>
          <w:b w:val="0"/>
        </w:rPr>
        <w:t xml:space="preserve"> </w:t>
      </w:r>
      <w:r w:rsidRPr="00832C2D">
        <w:rPr>
          <w:b w:val="0"/>
        </w:rPr>
        <w:t>online training modules for employers</w:t>
      </w:r>
      <w:r w:rsidR="0025049D">
        <w:rPr>
          <w:b w:val="0"/>
        </w:rPr>
        <w:t>.</w:t>
      </w:r>
      <w:r w:rsidR="00690262" w:rsidRPr="00832C2D">
        <w:rPr>
          <w:rStyle w:val="FootnoteReference"/>
          <w:rFonts w:eastAsia="Times New Roman"/>
          <w:b w:val="0"/>
          <w:szCs w:val="24"/>
        </w:rPr>
        <w:footnoteReference w:id="14"/>
      </w:r>
    </w:p>
    <w:p w14:paraId="6A05B7BD" w14:textId="77777777" w:rsidR="00133B24" w:rsidRDefault="00133B24" w:rsidP="00964598">
      <w:pPr>
        <w:spacing w:after="0"/>
      </w:pPr>
    </w:p>
    <w:p w14:paraId="24B8A334" w14:textId="20EE2555" w:rsidR="00F14633" w:rsidRDefault="00256022" w:rsidP="0062659B">
      <w:pPr>
        <w:pStyle w:val="Heading3"/>
      </w:pPr>
      <w:bookmarkStart w:id="83" w:name="_Toc527447245"/>
      <w:r w:rsidRPr="00214C39">
        <w:rPr>
          <w:noProof/>
        </w:rPr>
        <w:lastRenderedPageBreak/>
        <w:drawing>
          <wp:anchor distT="0" distB="0" distL="114300" distR="114300" simplePos="0" relativeHeight="251658241" behindDoc="0" locked="0" layoutInCell="1" allowOverlap="1" wp14:anchorId="1BCE215C" wp14:editId="514A157D">
            <wp:simplePos x="0" y="0"/>
            <wp:positionH relativeFrom="margin">
              <wp:align>left</wp:align>
            </wp:positionH>
            <wp:positionV relativeFrom="paragraph">
              <wp:posOffset>335915</wp:posOffset>
            </wp:positionV>
            <wp:extent cx="6179185" cy="3246120"/>
            <wp:effectExtent l="19050" t="19050" r="12065" b="11430"/>
            <wp:wrapTopAndBottom/>
            <wp:docPr id="5" name="Picture 5" descr="An infographic which gives a timeline-style representation of case study discussed above." title="Time Line for the FWO's  Court Proceedings against Minh Gia Le and House of Polish Central Pty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h Gia Le_polish central_timeline V3.0.png"/>
                    <pic:cNvPicPr/>
                  </pic:nvPicPr>
                  <pic:blipFill>
                    <a:blip r:embed="rId10">
                      <a:extLst>
                        <a:ext uri="{28A0092B-C50C-407E-A947-70E740481C1C}">
                          <a14:useLocalDpi xmlns:a14="http://schemas.microsoft.com/office/drawing/2010/main" val="0"/>
                        </a:ext>
                      </a:extLst>
                    </a:blip>
                    <a:stretch>
                      <a:fillRect/>
                    </a:stretch>
                  </pic:blipFill>
                  <pic:spPr>
                    <a:xfrm>
                      <a:off x="0" y="0"/>
                      <a:ext cx="6179185" cy="324612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bookmarkStart w:id="84" w:name="_Toc526855142"/>
      <w:bookmarkStart w:id="85" w:name="_Toc526981364"/>
      <w:r w:rsidRPr="00214C39">
        <w:t xml:space="preserve">Time Line: FWO v Minh </w:t>
      </w:r>
      <w:proofErr w:type="spellStart"/>
      <w:r w:rsidRPr="00214C39">
        <w:t>Gia</w:t>
      </w:r>
      <w:proofErr w:type="spellEnd"/>
      <w:r w:rsidRPr="00214C39">
        <w:t xml:space="preserve"> Le &amp; House of Polish Central Pty Ltd</w:t>
      </w:r>
      <w:bookmarkEnd w:id="83"/>
      <w:bookmarkEnd w:id="84"/>
      <w:bookmarkEnd w:id="85"/>
      <w:r w:rsidR="0062659B">
        <w:t>.</w:t>
      </w:r>
      <w:bookmarkStart w:id="86" w:name="_Toc520457109"/>
    </w:p>
    <w:p w14:paraId="6ED2AFB1" w14:textId="77777777" w:rsidR="00CF1A88" w:rsidRDefault="00CF1A88" w:rsidP="00396B4E">
      <w:pPr>
        <w:pStyle w:val="Heading1"/>
      </w:pPr>
    </w:p>
    <w:p w14:paraId="7432504D" w14:textId="77777777" w:rsidR="00CF1A88" w:rsidRDefault="00CF1A88" w:rsidP="00CF1A88">
      <w:pPr>
        <w:rPr>
          <w:rFonts w:eastAsiaTheme="minorHAnsi" w:cs="Helvetica"/>
          <w:color w:val="17365D" w:themeColor="text2" w:themeShade="BF"/>
          <w:sz w:val="40"/>
          <w:szCs w:val="22"/>
          <w:lang w:eastAsia="en-AU"/>
        </w:rPr>
      </w:pPr>
      <w:r>
        <w:br w:type="page"/>
      </w:r>
    </w:p>
    <w:p w14:paraId="536E9648" w14:textId="6015A922" w:rsidR="00AF27BF" w:rsidRDefault="00CF1A88" w:rsidP="00396B4E">
      <w:pPr>
        <w:pStyle w:val="Heading1"/>
      </w:pPr>
      <w:bookmarkStart w:id="87" w:name="_Toc527447246"/>
      <w:bookmarkStart w:id="88" w:name="_Toc528058405"/>
      <w:bookmarkStart w:id="89" w:name="_Toc528060231"/>
      <w:bookmarkStart w:id="90" w:name="_Toc529352628"/>
      <w:r>
        <w:lastRenderedPageBreak/>
        <w:t xml:space="preserve">Comparison of </w:t>
      </w:r>
      <w:r w:rsidR="00B04692">
        <w:t>f</w:t>
      </w:r>
      <w:r>
        <w:t>indings</w:t>
      </w:r>
      <w:bookmarkEnd w:id="87"/>
      <w:bookmarkEnd w:id="88"/>
      <w:bookmarkEnd w:id="89"/>
      <w:bookmarkEnd w:id="90"/>
    </w:p>
    <w:p w14:paraId="5488175B" w14:textId="2410B23A" w:rsidR="000F1F48" w:rsidRDefault="00616647" w:rsidP="00CF1A88">
      <w:pPr>
        <w:jc w:val="both"/>
        <w:rPr>
          <w:rFonts w:cs="Helvetica"/>
        </w:rPr>
      </w:pPr>
      <w:r>
        <w:rPr>
          <w:rFonts w:cs="Helvetica"/>
        </w:rPr>
        <w:t>The results of</w:t>
      </w:r>
      <w:r w:rsidR="003C31C5">
        <w:rPr>
          <w:rFonts w:cs="Helvetica"/>
        </w:rPr>
        <w:t xml:space="preserve"> the FWO’s second</w:t>
      </w:r>
      <w:r>
        <w:rPr>
          <w:rFonts w:cs="Helvetica"/>
        </w:rPr>
        <w:t xml:space="preserve"> </w:t>
      </w:r>
      <w:r w:rsidR="005F358C" w:rsidRPr="008136E9">
        <w:rPr>
          <w:rFonts w:cs="Helvetica"/>
        </w:rPr>
        <w:t xml:space="preserve">National Compliance Monitoring Campaign </w:t>
      </w:r>
      <w:r>
        <w:rPr>
          <w:rFonts w:cs="Helvetica"/>
        </w:rPr>
        <w:t xml:space="preserve">confirm the positive effect that </w:t>
      </w:r>
      <w:r w:rsidR="00737CD4">
        <w:rPr>
          <w:rFonts w:cs="Helvetica"/>
        </w:rPr>
        <w:t xml:space="preserve">the </w:t>
      </w:r>
      <w:r>
        <w:rPr>
          <w:rFonts w:cs="Helvetica"/>
        </w:rPr>
        <w:t xml:space="preserve">FWO’s audit </w:t>
      </w:r>
      <w:r w:rsidR="00BF577E">
        <w:rPr>
          <w:rFonts w:cs="Helvetica"/>
        </w:rPr>
        <w:t>activities h</w:t>
      </w:r>
      <w:r>
        <w:rPr>
          <w:rFonts w:cs="Helvetica"/>
        </w:rPr>
        <w:t>ave on employer compliance</w:t>
      </w:r>
      <w:r w:rsidR="00CF1A88">
        <w:rPr>
          <w:rFonts w:cs="Helvetica"/>
        </w:rPr>
        <w:t xml:space="preserve"> levels</w:t>
      </w:r>
      <w:r>
        <w:rPr>
          <w:rFonts w:cs="Helvetica"/>
        </w:rPr>
        <w:t xml:space="preserve">. </w:t>
      </w:r>
    </w:p>
    <w:p w14:paraId="5D1D72C9" w14:textId="04BE5474" w:rsidR="00CF1A88" w:rsidRDefault="007D09C9" w:rsidP="00CF1A88">
      <w:pPr>
        <w:jc w:val="both"/>
        <w:rPr>
          <w:rFonts w:cs="Helvetica"/>
          <w:szCs w:val="22"/>
        </w:rPr>
      </w:pPr>
      <w:r>
        <w:rPr>
          <w:rFonts w:cs="Helvetica"/>
        </w:rPr>
        <w:t>S</w:t>
      </w:r>
      <w:r w:rsidR="003C31C5">
        <w:rPr>
          <w:rFonts w:cs="Helvetica"/>
        </w:rPr>
        <w:t xml:space="preserve">etting aside the </w:t>
      </w:r>
      <w:r w:rsidR="00D77B74">
        <w:rPr>
          <w:rFonts w:cs="Helvetica"/>
        </w:rPr>
        <w:t xml:space="preserve">findings relating to the </w:t>
      </w:r>
      <w:r w:rsidR="00CF1A88">
        <w:rPr>
          <w:rFonts w:cs="Helvetica"/>
        </w:rPr>
        <w:t>Chemist Warehouse service network, the Campaign found n</w:t>
      </w:r>
      <w:r w:rsidR="00CF1A88">
        <w:t xml:space="preserve">early two-thirds (62%) of previously non-compliant employers </w:t>
      </w:r>
      <w:r w:rsidR="00CF1A88">
        <w:rPr>
          <w:rFonts w:cs="Helvetica"/>
          <w:szCs w:val="22"/>
        </w:rPr>
        <w:t>were now fully compliant.</w:t>
      </w:r>
    </w:p>
    <w:p w14:paraId="3A95085B" w14:textId="77777777" w:rsidR="003C31C5" w:rsidRDefault="000F1F48" w:rsidP="00CF1A88">
      <w:pPr>
        <w:jc w:val="both"/>
      </w:pPr>
      <w:r>
        <w:rPr>
          <w:rFonts w:cs="Helvetica"/>
        </w:rPr>
        <w:t>At 62%, t</w:t>
      </w:r>
      <w:r>
        <w:t xml:space="preserve">he </w:t>
      </w:r>
      <w:r w:rsidR="00145E04">
        <w:t xml:space="preserve">overall employer </w:t>
      </w:r>
      <w:r>
        <w:t>compliance rate</w:t>
      </w:r>
      <w:r w:rsidR="00145E04">
        <w:rPr>
          <w:rStyle w:val="FootnoteReference"/>
        </w:rPr>
        <w:footnoteReference w:id="15"/>
      </w:r>
      <w:r>
        <w:t xml:space="preserve"> for the Campaign </w:t>
      </w:r>
      <w:r w:rsidR="00145E04">
        <w:t>is</w:t>
      </w:r>
      <w:r>
        <w:t xml:space="preserve"> 9% higher than the </w:t>
      </w:r>
      <w:r w:rsidR="00145E04">
        <w:t xml:space="preserve">average </w:t>
      </w:r>
      <w:r>
        <w:t xml:space="preserve">compliance rate </w:t>
      </w:r>
      <w:r w:rsidR="00145E04">
        <w:t xml:space="preserve">of </w:t>
      </w:r>
      <w:r>
        <w:t xml:space="preserve">all </w:t>
      </w:r>
      <w:r w:rsidR="00145E04">
        <w:t xml:space="preserve">proactive compliance and education </w:t>
      </w:r>
      <w:r>
        <w:t xml:space="preserve">audits undertaken </w:t>
      </w:r>
      <w:r w:rsidR="00145E04">
        <w:t xml:space="preserve">during </w:t>
      </w:r>
      <w:r w:rsidR="00D47E60">
        <w:t xml:space="preserve">a corresponding </w:t>
      </w:r>
      <w:r w:rsidR="00145E04">
        <w:t>period (</w:t>
      </w:r>
      <w:r>
        <w:t>53%</w:t>
      </w:r>
      <w:r w:rsidR="00145E04">
        <w:t>)</w:t>
      </w:r>
      <w:r w:rsidR="00D47E60">
        <w:rPr>
          <w:rStyle w:val="FootnoteReference"/>
        </w:rPr>
        <w:footnoteReference w:id="16"/>
      </w:r>
      <w:r>
        <w:t>.</w:t>
      </w:r>
      <w:r w:rsidR="007F1CF3" w:rsidRPr="007F1CF3">
        <w:t xml:space="preserve"> </w:t>
      </w:r>
      <w:r w:rsidR="003C31C5">
        <w:t xml:space="preserve"> </w:t>
      </w:r>
    </w:p>
    <w:p w14:paraId="03F4D7AD" w14:textId="0970ECDB" w:rsidR="00145E04" w:rsidRPr="00645EF4" w:rsidRDefault="003C31C5" w:rsidP="00CF1A88">
      <w:pPr>
        <w:jc w:val="both"/>
      </w:pPr>
      <w:r>
        <w:t>Moreover, a</w:t>
      </w:r>
      <w:r w:rsidR="007F1CF3">
        <w:t xml:space="preserve"> </w:t>
      </w:r>
      <w:r w:rsidR="007F1CF3" w:rsidRPr="00645EF4">
        <w:t xml:space="preserve">comparison of employer compliance </w:t>
      </w:r>
      <w:r w:rsidR="008A45EE" w:rsidRPr="00645EF4">
        <w:t xml:space="preserve">with </w:t>
      </w:r>
      <w:r w:rsidR="007F1CF3" w:rsidRPr="00420B7A">
        <w:t xml:space="preserve">monetary and </w:t>
      </w:r>
      <w:r w:rsidR="008A45EE" w:rsidRPr="00E56DFF">
        <w:t>non-monetary</w:t>
      </w:r>
      <w:r w:rsidR="007F1CF3" w:rsidRPr="00645EF4">
        <w:rPr>
          <w:rStyle w:val="FootnoteReference"/>
        </w:rPr>
        <w:footnoteReference w:id="17"/>
      </w:r>
      <w:r w:rsidR="007F1CF3" w:rsidRPr="00645EF4">
        <w:t xml:space="preserve"> </w:t>
      </w:r>
      <w:r w:rsidR="008A45EE" w:rsidRPr="00645EF4">
        <w:t xml:space="preserve">workplace relations </w:t>
      </w:r>
      <w:r w:rsidR="007F1CF3" w:rsidRPr="00420B7A">
        <w:t xml:space="preserve">obligations </w:t>
      </w:r>
      <w:r w:rsidR="007D09C9" w:rsidRPr="00420B7A">
        <w:t xml:space="preserve">for the 2016-2017 period </w:t>
      </w:r>
      <w:r w:rsidR="007F1CF3" w:rsidRPr="00E56DFF">
        <w:t>reveals a similar trend</w:t>
      </w:r>
      <w:r w:rsidR="002A7FB1" w:rsidRPr="00E56DFF">
        <w:t>.</w:t>
      </w:r>
    </w:p>
    <w:p w14:paraId="6318B899" w14:textId="64073BDB" w:rsidR="00682AA6" w:rsidRPr="004F690A" w:rsidRDefault="002C73FB" w:rsidP="004F690A">
      <w:pPr>
        <w:spacing w:line="240" w:lineRule="auto"/>
        <w:rPr>
          <w:b/>
        </w:rPr>
      </w:pPr>
      <w:r w:rsidRPr="004F690A">
        <w:rPr>
          <w:b/>
        </w:rPr>
        <w:t xml:space="preserve">Table </w:t>
      </w:r>
      <w:r w:rsidR="00966DFE" w:rsidRPr="004F690A">
        <w:rPr>
          <w:b/>
        </w:rPr>
        <w:t>2</w:t>
      </w:r>
      <w:r w:rsidRPr="004F690A">
        <w:rPr>
          <w:b/>
        </w:rPr>
        <w:t>:</w:t>
      </w:r>
      <w:r w:rsidR="001E2E2F" w:rsidRPr="004F690A">
        <w:rPr>
          <w:b/>
        </w:rPr>
        <w:t xml:space="preserve"> </w:t>
      </w:r>
      <w:r w:rsidR="00AC6889" w:rsidRPr="004F690A">
        <w:rPr>
          <w:b/>
        </w:rPr>
        <w:t>A</w:t>
      </w:r>
      <w:r w:rsidR="00716B99" w:rsidRPr="004F690A">
        <w:rPr>
          <w:b/>
        </w:rPr>
        <w:t xml:space="preserve"> compar</w:t>
      </w:r>
      <w:r w:rsidR="00AC6889" w:rsidRPr="004F690A">
        <w:rPr>
          <w:b/>
        </w:rPr>
        <w:t>ison of</w:t>
      </w:r>
      <w:r w:rsidR="00716B99" w:rsidRPr="004F690A">
        <w:rPr>
          <w:b/>
        </w:rPr>
        <w:t xml:space="preserve"> the average</w:t>
      </w:r>
      <w:r w:rsidR="00AC6889" w:rsidRPr="004F690A">
        <w:rPr>
          <w:b/>
        </w:rPr>
        <w:t>d</w:t>
      </w:r>
      <w:r w:rsidR="00716B99" w:rsidRPr="004F690A">
        <w:rPr>
          <w:b/>
        </w:rPr>
        <w:t xml:space="preserve"> </w:t>
      </w:r>
      <w:r w:rsidR="00AC6889" w:rsidRPr="004F690A">
        <w:rPr>
          <w:b/>
        </w:rPr>
        <w:t>compliance rates</w:t>
      </w:r>
      <w:r w:rsidR="00716B99" w:rsidRPr="004F690A">
        <w:rPr>
          <w:b/>
        </w:rPr>
        <w:t xml:space="preserve"> of all FWO campaigns </w:t>
      </w:r>
      <w:r w:rsidR="008463E6" w:rsidRPr="004F690A">
        <w:rPr>
          <w:b/>
        </w:rPr>
        <w:t xml:space="preserve">for the 2016-2017 period </w:t>
      </w:r>
      <w:r w:rsidR="00716B99" w:rsidRPr="004F690A">
        <w:rPr>
          <w:b/>
        </w:rPr>
        <w:t>with those of National Compliance Monitoring</w:t>
      </w:r>
      <w:r w:rsidR="00046825" w:rsidRPr="004F690A">
        <w:rPr>
          <w:b/>
        </w:rPr>
        <w:t xml:space="preserve"> 2016-2017.</w:t>
      </w:r>
    </w:p>
    <w:tbl>
      <w:tblPr>
        <w:tblW w:w="9493" w:type="dxa"/>
        <w:tblLook w:val="04A0" w:firstRow="1" w:lastRow="0" w:firstColumn="1" w:lastColumn="0" w:noHBand="0" w:noVBand="1"/>
      </w:tblPr>
      <w:tblGrid>
        <w:gridCol w:w="3620"/>
        <w:gridCol w:w="2471"/>
        <w:gridCol w:w="3402"/>
      </w:tblGrid>
      <w:tr w:rsidR="007F1CF3" w:rsidRPr="007F1CF3" w14:paraId="20B8D417" w14:textId="77777777" w:rsidTr="008748E6">
        <w:trPr>
          <w:trHeight w:val="288"/>
          <w:tblHeader/>
        </w:trPr>
        <w:tc>
          <w:tcPr>
            <w:tcW w:w="3620" w:type="dxa"/>
            <w:tcBorders>
              <w:top w:val="single" w:sz="4" w:space="0" w:color="auto"/>
              <w:left w:val="single" w:sz="4" w:space="0" w:color="auto"/>
              <w:bottom w:val="single" w:sz="4" w:space="0" w:color="auto"/>
              <w:right w:val="single" w:sz="4" w:space="0" w:color="auto"/>
            </w:tcBorders>
            <w:shd w:val="clear" w:color="000000" w:fill="BDE7EE"/>
            <w:noWrap/>
            <w:vAlign w:val="bottom"/>
            <w:hideMark/>
          </w:tcPr>
          <w:p w14:paraId="7C3DA0C9" w14:textId="77777777" w:rsidR="007F1CF3" w:rsidRPr="007F1CF3" w:rsidRDefault="007F1CF3" w:rsidP="007F1CF3">
            <w:pPr>
              <w:spacing w:after="0" w:line="240" w:lineRule="auto"/>
              <w:rPr>
                <w:rFonts w:ascii="Calibri" w:hAnsi="Calibri" w:cs="Times New Roman"/>
                <w:color w:val="000000"/>
                <w:szCs w:val="22"/>
                <w:lang w:eastAsia="en-AU"/>
              </w:rPr>
            </w:pPr>
            <w:r w:rsidRPr="007F1CF3">
              <w:rPr>
                <w:rFonts w:ascii="Calibri" w:hAnsi="Calibri" w:cs="Times New Roman"/>
                <w:color w:val="000000"/>
                <w:szCs w:val="22"/>
                <w:lang w:eastAsia="en-AU"/>
              </w:rPr>
              <w:t>Compliance obligation</w:t>
            </w:r>
          </w:p>
        </w:tc>
        <w:tc>
          <w:tcPr>
            <w:tcW w:w="2471" w:type="dxa"/>
            <w:tcBorders>
              <w:top w:val="single" w:sz="4" w:space="0" w:color="auto"/>
              <w:left w:val="nil"/>
              <w:bottom w:val="single" w:sz="4" w:space="0" w:color="auto"/>
              <w:right w:val="single" w:sz="4" w:space="0" w:color="auto"/>
            </w:tcBorders>
            <w:shd w:val="clear" w:color="000000" w:fill="BDE7EE"/>
            <w:noWrap/>
            <w:vAlign w:val="bottom"/>
            <w:hideMark/>
          </w:tcPr>
          <w:p w14:paraId="634E327B" w14:textId="786BFB3F" w:rsidR="007F1CF3" w:rsidRPr="007F1CF3" w:rsidRDefault="007F1CF3" w:rsidP="00DC7463">
            <w:pPr>
              <w:spacing w:after="0" w:line="240" w:lineRule="auto"/>
              <w:jc w:val="center"/>
              <w:rPr>
                <w:rFonts w:ascii="Calibri" w:hAnsi="Calibri" w:cs="Times New Roman"/>
                <w:color w:val="000000"/>
                <w:szCs w:val="22"/>
                <w:lang w:eastAsia="en-AU"/>
              </w:rPr>
            </w:pPr>
            <w:r w:rsidRPr="007F1CF3">
              <w:rPr>
                <w:rFonts w:ascii="Calibri" w:hAnsi="Calibri" w:cs="Times New Roman"/>
                <w:color w:val="000000"/>
                <w:szCs w:val="22"/>
                <w:lang w:eastAsia="en-AU"/>
              </w:rPr>
              <w:t>Average all-campaign</w:t>
            </w:r>
          </w:p>
        </w:tc>
        <w:tc>
          <w:tcPr>
            <w:tcW w:w="3402" w:type="dxa"/>
            <w:tcBorders>
              <w:top w:val="single" w:sz="4" w:space="0" w:color="auto"/>
              <w:left w:val="nil"/>
              <w:bottom w:val="single" w:sz="4" w:space="0" w:color="auto"/>
              <w:right w:val="single" w:sz="4" w:space="0" w:color="auto"/>
            </w:tcBorders>
            <w:shd w:val="clear" w:color="000000" w:fill="BDE7EE"/>
            <w:noWrap/>
            <w:vAlign w:val="bottom"/>
            <w:hideMark/>
          </w:tcPr>
          <w:p w14:paraId="49F39570" w14:textId="77777777" w:rsidR="007F1CF3" w:rsidRPr="007F1CF3" w:rsidRDefault="007F1CF3" w:rsidP="007F1CF3">
            <w:pPr>
              <w:spacing w:after="0" w:line="240" w:lineRule="auto"/>
              <w:rPr>
                <w:rFonts w:ascii="Calibri" w:hAnsi="Calibri" w:cs="Times New Roman"/>
                <w:color w:val="000000"/>
                <w:szCs w:val="22"/>
                <w:lang w:eastAsia="en-AU"/>
              </w:rPr>
            </w:pPr>
            <w:r w:rsidRPr="007F1CF3">
              <w:rPr>
                <w:rFonts w:ascii="Calibri" w:hAnsi="Calibri" w:cs="Times New Roman"/>
                <w:color w:val="000000"/>
                <w:szCs w:val="22"/>
                <w:lang w:eastAsia="en-AU"/>
              </w:rPr>
              <w:t xml:space="preserve">National Compliance Monitoring </w:t>
            </w:r>
          </w:p>
        </w:tc>
      </w:tr>
      <w:tr w:rsidR="007F1CF3" w:rsidRPr="007F1CF3" w14:paraId="4316ED34" w14:textId="77777777" w:rsidTr="008748E6">
        <w:trPr>
          <w:trHeight w:val="288"/>
          <w:tblHead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DAD2722" w14:textId="77777777" w:rsidR="007F1CF3" w:rsidRPr="007F1CF3" w:rsidRDefault="007F1CF3" w:rsidP="007F1CF3">
            <w:pPr>
              <w:spacing w:after="0" w:line="240" w:lineRule="auto"/>
              <w:rPr>
                <w:rFonts w:ascii="Calibri" w:hAnsi="Calibri" w:cs="Times New Roman"/>
                <w:color w:val="000000"/>
                <w:szCs w:val="22"/>
                <w:lang w:eastAsia="en-AU"/>
              </w:rPr>
            </w:pPr>
            <w:r w:rsidRPr="007F1CF3">
              <w:rPr>
                <w:rFonts w:ascii="Calibri" w:hAnsi="Calibri" w:cs="Times New Roman"/>
                <w:color w:val="000000"/>
                <w:szCs w:val="22"/>
                <w:lang w:eastAsia="en-AU"/>
              </w:rPr>
              <w:t xml:space="preserve">Monetary </w:t>
            </w:r>
          </w:p>
        </w:tc>
        <w:tc>
          <w:tcPr>
            <w:tcW w:w="2471" w:type="dxa"/>
            <w:tcBorders>
              <w:top w:val="nil"/>
              <w:left w:val="nil"/>
              <w:bottom w:val="single" w:sz="4" w:space="0" w:color="auto"/>
              <w:right w:val="single" w:sz="4" w:space="0" w:color="auto"/>
            </w:tcBorders>
            <w:shd w:val="clear" w:color="auto" w:fill="auto"/>
            <w:noWrap/>
            <w:vAlign w:val="bottom"/>
            <w:hideMark/>
          </w:tcPr>
          <w:p w14:paraId="26C326B5" w14:textId="77777777" w:rsidR="007F1CF3" w:rsidRPr="007F1CF3" w:rsidRDefault="007F1CF3" w:rsidP="004F7FC6">
            <w:pPr>
              <w:spacing w:after="0" w:line="240" w:lineRule="auto"/>
              <w:jc w:val="center"/>
              <w:rPr>
                <w:rFonts w:ascii="Calibri" w:hAnsi="Calibri" w:cs="Times New Roman"/>
                <w:color w:val="000000"/>
                <w:szCs w:val="22"/>
                <w:lang w:eastAsia="en-AU"/>
              </w:rPr>
            </w:pPr>
            <w:r w:rsidRPr="007F1CF3">
              <w:rPr>
                <w:rFonts w:ascii="Calibri" w:hAnsi="Calibri" w:cs="Times New Roman"/>
                <w:color w:val="000000"/>
                <w:szCs w:val="22"/>
                <w:lang w:eastAsia="en-AU"/>
              </w:rPr>
              <w:t>70%</w:t>
            </w:r>
          </w:p>
        </w:tc>
        <w:tc>
          <w:tcPr>
            <w:tcW w:w="3402" w:type="dxa"/>
            <w:tcBorders>
              <w:top w:val="nil"/>
              <w:left w:val="nil"/>
              <w:bottom w:val="single" w:sz="4" w:space="0" w:color="auto"/>
              <w:right w:val="single" w:sz="4" w:space="0" w:color="auto"/>
            </w:tcBorders>
            <w:shd w:val="clear" w:color="auto" w:fill="auto"/>
            <w:noWrap/>
            <w:vAlign w:val="bottom"/>
            <w:hideMark/>
          </w:tcPr>
          <w:p w14:paraId="27B0C233" w14:textId="77777777" w:rsidR="007F1CF3" w:rsidRPr="007F1CF3" w:rsidRDefault="007F1CF3" w:rsidP="004F7FC6">
            <w:pPr>
              <w:spacing w:after="0" w:line="240" w:lineRule="auto"/>
              <w:jc w:val="center"/>
              <w:rPr>
                <w:rFonts w:ascii="Calibri" w:hAnsi="Calibri" w:cs="Times New Roman"/>
                <w:color w:val="000000"/>
                <w:szCs w:val="22"/>
                <w:lang w:eastAsia="en-AU"/>
              </w:rPr>
            </w:pPr>
            <w:r w:rsidRPr="007F1CF3">
              <w:rPr>
                <w:rFonts w:ascii="Calibri" w:hAnsi="Calibri" w:cs="Times New Roman"/>
                <w:color w:val="000000"/>
                <w:szCs w:val="22"/>
                <w:lang w:eastAsia="en-AU"/>
              </w:rPr>
              <w:t>76%</w:t>
            </w:r>
          </w:p>
        </w:tc>
      </w:tr>
      <w:tr w:rsidR="007F1CF3" w:rsidRPr="007F1CF3" w14:paraId="53258B89" w14:textId="77777777" w:rsidTr="008748E6">
        <w:trPr>
          <w:trHeight w:val="288"/>
          <w:tblHead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196B317" w14:textId="77777777" w:rsidR="007F1CF3" w:rsidRPr="007F1CF3" w:rsidRDefault="007F1CF3" w:rsidP="007F1CF3">
            <w:pPr>
              <w:spacing w:after="0" w:line="240" w:lineRule="auto"/>
              <w:rPr>
                <w:rFonts w:ascii="Calibri" w:hAnsi="Calibri" w:cs="Times New Roman"/>
                <w:color w:val="000000"/>
                <w:szCs w:val="22"/>
                <w:lang w:eastAsia="en-AU"/>
              </w:rPr>
            </w:pPr>
            <w:r w:rsidRPr="007F1CF3">
              <w:rPr>
                <w:rFonts w:ascii="Calibri" w:hAnsi="Calibri" w:cs="Times New Roman"/>
                <w:color w:val="000000"/>
                <w:szCs w:val="22"/>
                <w:lang w:eastAsia="en-AU"/>
              </w:rPr>
              <w:t>Non-monetary</w:t>
            </w:r>
          </w:p>
        </w:tc>
        <w:tc>
          <w:tcPr>
            <w:tcW w:w="2471" w:type="dxa"/>
            <w:tcBorders>
              <w:top w:val="nil"/>
              <w:left w:val="nil"/>
              <w:bottom w:val="single" w:sz="4" w:space="0" w:color="auto"/>
              <w:right w:val="single" w:sz="4" w:space="0" w:color="auto"/>
            </w:tcBorders>
            <w:shd w:val="clear" w:color="auto" w:fill="auto"/>
            <w:noWrap/>
            <w:vAlign w:val="bottom"/>
            <w:hideMark/>
          </w:tcPr>
          <w:p w14:paraId="6D6152F8" w14:textId="77777777" w:rsidR="007F1CF3" w:rsidRPr="007F1CF3" w:rsidRDefault="007F1CF3" w:rsidP="004F7FC6">
            <w:pPr>
              <w:spacing w:after="0" w:line="240" w:lineRule="auto"/>
              <w:jc w:val="center"/>
              <w:rPr>
                <w:rFonts w:ascii="Calibri" w:hAnsi="Calibri" w:cs="Times New Roman"/>
                <w:color w:val="000000"/>
                <w:szCs w:val="22"/>
                <w:lang w:eastAsia="en-AU"/>
              </w:rPr>
            </w:pPr>
            <w:r w:rsidRPr="007F1CF3">
              <w:rPr>
                <w:rFonts w:ascii="Calibri" w:hAnsi="Calibri" w:cs="Times New Roman"/>
                <w:color w:val="000000"/>
                <w:szCs w:val="22"/>
                <w:lang w:eastAsia="en-AU"/>
              </w:rPr>
              <w:t>75%</w:t>
            </w:r>
          </w:p>
        </w:tc>
        <w:tc>
          <w:tcPr>
            <w:tcW w:w="3402" w:type="dxa"/>
            <w:tcBorders>
              <w:top w:val="nil"/>
              <w:left w:val="nil"/>
              <w:bottom w:val="single" w:sz="4" w:space="0" w:color="auto"/>
              <w:right w:val="single" w:sz="4" w:space="0" w:color="auto"/>
            </w:tcBorders>
            <w:shd w:val="clear" w:color="auto" w:fill="auto"/>
            <w:noWrap/>
            <w:vAlign w:val="bottom"/>
            <w:hideMark/>
          </w:tcPr>
          <w:p w14:paraId="49B8D739" w14:textId="77777777" w:rsidR="007F1CF3" w:rsidRPr="007F1CF3" w:rsidRDefault="007F1CF3" w:rsidP="004F7FC6">
            <w:pPr>
              <w:spacing w:after="0" w:line="240" w:lineRule="auto"/>
              <w:jc w:val="center"/>
              <w:rPr>
                <w:rFonts w:ascii="Calibri" w:hAnsi="Calibri" w:cs="Times New Roman"/>
                <w:color w:val="000000"/>
                <w:szCs w:val="22"/>
                <w:lang w:eastAsia="en-AU"/>
              </w:rPr>
            </w:pPr>
            <w:r w:rsidRPr="007F1CF3">
              <w:rPr>
                <w:rFonts w:ascii="Calibri" w:hAnsi="Calibri" w:cs="Times New Roman"/>
                <w:color w:val="000000"/>
                <w:szCs w:val="22"/>
                <w:lang w:eastAsia="en-AU"/>
              </w:rPr>
              <w:t>79%</w:t>
            </w:r>
          </w:p>
        </w:tc>
      </w:tr>
    </w:tbl>
    <w:p w14:paraId="5058CE64" w14:textId="77777777" w:rsidR="00F74772" w:rsidRDefault="00F74772" w:rsidP="00DC7463">
      <w:pPr>
        <w:spacing w:after="0"/>
      </w:pPr>
    </w:p>
    <w:p w14:paraId="180336B6" w14:textId="1E16DBF2" w:rsidR="004807A3" w:rsidRDefault="00DC00C7" w:rsidP="00DC7463">
      <w:pPr>
        <w:spacing w:after="0"/>
        <w:rPr>
          <w:rFonts w:cs="Helvetica"/>
        </w:rPr>
      </w:pPr>
      <w:r>
        <w:rPr>
          <w:rFonts w:cs="Helvetica"/>
        </w:rPr>
        <w:t>Th</w:t>
      </w:r>
      <w:r w:rsidR="008463E6">
        <w:rPr>
          <w:rFonts w:cs="Helvetica"/>
        </w:rPr>
        <w:t>is</w:t>
      </w:r>
      <w:r>
        <w:rPr>
          <w:rFonts w:cs="Helvetica"/>
        </w:rPr>
        <w:t xml:space="preserve"> </w:t>
      </w:r>
      <w:r w:rsidR="003C31C5">
        <w:rPr>
          <w:rFonts w:cs="Helvetica"/>
        </w:rPr>
        <w:t xml:space="preserve">favourable </w:t>
      </w:r>
      <w:r>
        <w:rPr>
          <w:rFonts w:cs="Helvetica"/>
        </w:rPr>
        <w:t xml:space="preserve">comparison of compliance </w:t>
      </w:r>
      <w:r w:rsidR="00603858">
        <w:rPr>
          <w:rFonts w:cs="Helvetica"/>
        </w:rPr>
        <w:t xml:space="preserve">rates </w:t>
      </w:r>
      <w:r>
        <w:rPr>
          <w:rFonts w:cs="Helvetica"/>
        </w:rPr>
        <w:t xml:space="preserve">is even more significant considering </w:t>
      </w:r>
      <w:r w:rsidR="008463E6">
        <w:rPr>
          <w:rFonts w:cs="Helvetica"/>
        </w:rPr>
        <w:t xml:space="preserve">that </w:t>
      </w:r>
      <w:r w:rsidR="001478E0">
        <w:rPr>
          <w:rFonts w:cs="Helvetica"/>
        </w:rPr>
        <w:t xml:space="preserve">the </w:t>
      </w:r>
      <w:r w:rsidR="008463E6">
        <w:rPr>
          <w:rFonts w:cs="Helvetica"/>
        </w:rPr>
        <w:t>c</w:t>
      </w:r>
      <w:r w:rsidR="004807A3">
        <w:rPr>
          <w:rFonts w:cs="Helvetica"/>
        </w:rPr>
        <w:t>ampaign’s</w:t>
      </w:r>
      <w:r w:rsidR="004D6240">
        <w:rPr>
          <w:rFonts w:cs="Helvetica"/>
        </w:rPr>
        <w:t xml:space="preserve"> methodology </w:t>
      </w:r>
      <w:r w:rsidR="004807A3">
        <w:rPr>
          <w:rFonts w:cs="Helvetica"/>
        </w:rPr>
        <w:t>involved</w:t>
      </w:r>
      <w:r w:rsidR="000C4F75">
        <w:rPr>
          <w:rFonts w:cs="Helvetica"/>
        </w:rPr>
        <w:t xml:space="preserve"> </w:t>
      </w:r>
      <w:r w:rsidR="004807A3">
        <w:rPr>
          <w:rFonts w:cs="Helvetica"/>
        </w:rPr>
        <w:t>businesses that had been non-compliant in the past.</w:t>
      </w:r>
      <w:r w:rsidR="008463E6">
        <w:rPr>
          <w:rFonts w:cs="Helvetica"/>
        </w:rPr>
        <w:t xml:space="preserve"> </w:t>
      </w:r>
    </w:p>
    <w:p w14:paraId="5DCFAAA5" w14:textId="77777777" w:rsidR="002C73FB" w:rsidRDefault="00D843CA" w:rsidP="004807A3">
      <w:pPr>
        <w:jc w:val="both"/>
        <w:rPr>
          <w:rFonts w:cs="Helvetica"/>
        </w:rPr>
      </w:pPr>
      <w:r>
        <w:rPr>
          <w:rFonts w:cs="Helvetica"/>
        </w:rPr>
        <w:t xml:space="preserve">In nearly all </w:t>
      </w:r>
      <w:r w:rsidR="00046825">
        <w:rPr>
          <w:rFonts w:cs="Helvetica"/>
        </w:rPr>
        <w:t>industries</w:t>
      </w:r>
      <w:r>
        <w:rPr>
          <w:rFonts w:cs="Helvetica"/>
        </w:rPr>
        <w:t xml:space="preserve">, </w:t>
      </w:r>
      <w:r w:rsidR="000D140D">
        <w:rPr>
          <w:rFonts w:cs="Helvetica"/>
        </w:rPr>
        <w:t>the compliance rate is at least equal to</w:t>
      </w:r>
      <w:r w:rsidR="002C73FB">
        <w:rPr>
          <w:rFonts w:cs="Helvetica"/>
        </w:rPr>
        <w:t xml:space="preserve"> </w:t>
      </w:r>
      <w:r w:rsidR="00C3513F">
        <w:rPr>
          <w:rFonts w:cs="Helvetica"/>
        </w:rPr>
        <w:t xml:space="preserve">(and in most </w:t>
      </w:r>
      <w:r w:rsidR="00FD1FB9">
        <w:rPr>
          <w:rFonts w:cs="Helvetica"/>
        </w:rPr>
        <w:t>cases greater than</w:t>
      </w:r>
      <w:r w:rsidR="00C3513F">
        <w:rPr>
          <w:rFonts w:cs="Helvetica"/>
        </w:rPr>
        <w:t>)</w:t>
      </w:r>
      <w:r w:rsidR="00FD1FB9">
        <w:rPr>
          <w:rFonts w:cs="Helvetica"/>
        </w:rPr>
        <w:t xml:space="preserve"> the average compliance rate for all </w:t>
      </w:r>
      <w:r w:rsidR="00715756">
        <w:rPr>
          <w:rFonts w:cs="Helvetica"/>
        </w:rPr>
        <w:t xml:space="preserve">other </w:t>
      </w:r>
      <w:r w:rsidR="00FD1FB9">
        <w:rPr>
          <w:rFonts w:cs="Helvetica"/>
        </w:rPr>
        <w:t>campaigns combined</w:t>
      </w:r>
      <w:r w:rsidR="002C73FB">
        <w:rPr>
          <w:rFonts w:cs="Helvetica"/>
        </w:rPr>
        <w:t xml:space="preserve"> (see </w:t>
      </w:r>
      <w:r w:rsidR="000D140D">
        <w:rPr>
          <w:rFonts w:cs="Helvetica"/>
        </w:rPr>
        <w:t>T</w:t>
      </w:r>
      <w:r w:rsidR="002C73FB">
        <w:rPr>
          <w:rFonts w:cs="Helvetica"/>
        </w:rPr>
        <w:t xml:space="preserve">able </w:t>
      </w:r>
      <w:r w:rsidR="00C73AB1">
        <w:rPr>
          <w:rFonts w:cs="Helvetica"/>
        </w:rPr>
        <w:t>3</w:t>
      </w:r>
      <w:r w:rsidR="002C73FB">
        <w:rPr>
          <w:rFonts w:cs="Helvetica"/>
        </w:rPr>
        <w:t>)</w:t>
      </w:r>
      <w:r w:rsidR="00716B99">
        <w:rPr>
          <w:rFonts w:cs="Helvetica"/>
        </w:rPr>
        <w:t xml:space="preserve">. </w:t>
      </w:r>
      <w:r w:rsidR="00C1289F">
        <w:rPr>
          <w:rFonts w:cs="Helvetica"/>
        </w:rPr>
        <w:t>The results show that employers who operate in these industries are responsive to compliance monitoring strategies.</w:t>
      </w:r>
    </w:p>
    <w:p w14:paraId="35F1EB2D" w14:textId="03456F7A" w:rsidR="00C91B00" w:rsidRPr="00810FFB" w:rsidRDefault="00D83E3C" w:rsidP="00C17CCC">
      <w:pPr>
        <w:spacing w:line="240" w:lineRule="auto"/>
        <w:rPr>
          <w:b/>
        </w:rPr>
      </w:pPr>
      <w:r>
        <w:br w:type="page"/>
      </w:r>
      <w:r w:rsidR="000D140D" w:rsidRPr="00810FFB">
        <w:rPr>
          <w:b/>
        </w:rPr>
        <w:lastRenderedPageBreak/>
        <w:t xml:space="preserve">Table </w:t>
      </w:r>
      <w:r w:rsidR="00C73AB1" w:rsidRPr="00810FFB">
        <w:rPr>
          <w:b/>
        </w:rPr>
        <w:t>3</w:t>
      </w:r>
      <w:r w:rsidR="000D140D" w:rsidRPr="00810FFB">
        <w:rPr>
          <w:b/>
        </w:rPr>
        <w:t xml:space="preserve">: A comparison of </w:t>
      </w:r>
      <w:r w:rsidR="00046825" w:rsidRPr="00810FFB">
        <w:rPr>
          <w:b/>
        </w:rPr>
        <w:t xml:space="preserve">major </w:t>
      </w:r>
      <w:r w:rsidR="000D140D" w:rsidRPr="00810FFB">
        <w:rPr>
          <w:b/>
        </w:rPr>
        <w:t xml:space="preserve">industry compliance </w:t>
      </w:r>
      <w:r w:rsidR="00046825" w:rsidRPr="00810FFB">
        <w:rPr>
          <w:b/>
        </w:rPr>
        <w:t xml:space="preserve">rates between </w:t>
      </w:r>
      <w:r w:rsidR="00AC6889" w:rsidRPr="00810FFB">
        <w:rPr>
          <w:b/>
        </w:rPr>
        <w:t xml:space="preserve">all </w:t>
      </w:r>
      <w:r w:rsidR="000D140D" w:rsidRPr="00810FFB">
        <w:rPr>
          <w:b/>
        </w:rPr>
        <w:t xml:space="preserve">FWO campaigns </w:t>
      </w:r>
      <w:r w:rsidR="00046825" w:rsidRPr="00810FFB">
        <w:rPr>
          <w:b/>
        </w:rPr>
        <w:t>and the</w:t>
      </w:r>
      <w:r w:rsidR="000D140D" w:rsidRPr="00810FFB">
        <w:rPr>
          <w:b/>
        </w:rPr>
        <w:t xml:space="preserve"> National Compliance Monitoring</w:t>
      </w:r>
      <w:r w:rsidR="00AC6889" w:rsidRPr="00810FFB">
        <w:rPr>
          <w:b/>
        </w:rPr>
        <w:t xml:space="preserve">, </w:t>
      </w:r>
      <w:r w:rsidR="000D140D" w:rsidRPr="00810FFB">
        <w:rPr>
          <w:b/>
        </w:rPr>
        <w:t>for the 2016-2017 period</w:t>
      </w:r>
      <w:r w:rsidR="00964598" w:rsidRPr="00810FFB">
        <w:rPr>
          <w:rStyle w:val="FootnoteReference"/>
          <w:b/>
        </w:rPr>
        <w:footnoteReference w:id="18"/>
      </w:r>
      <w:r w:rsidR="0062659B">
        <w:rPr>
          <w:b/>
        </w:rPr>
        <w:t>.</w:t>
      </w:r>
    </w:p>
    <w:tbl>
      <w:tblPr>
        <w:tblW w:w="9493" w:type="dxa"/>
        <w:tblLayout w:type="fixed"/>
        <w:tblLook w:val="04A0" w:firstRow="1" w:lastRow="0" w:firstColumn="1" w:lastColumn="0" w:noHBand="0" w:noVBand="1"/>
        <w:tblCaption w:val="Table 3: A comparison of major industry compliance rates between all FWO campaigns and the National Compliance Monitoring, for the 2016-2017 period"/>
        <w:tblDescription w:val="Table comparing compliances rates by industry sector for the average of all FWO audit campagns and this Campaign"/>
      </w:tblPr>
      <w:tblGrid>
        <w:gridCol w:w="4248"/>
        <w:gridCol w:w="2693"/>
        <w:gridCol w:w="2552"/>
      </w:tblGrid>
      <w:tr w:rsidR="002C73FB" w:rsidRPr="007F1CF3" w14:paraId="2DF2B44B" w14:textId="77777777" w:rsidTr="008748E6">
        <w:trPr>
          <w:trHeight w:val="274"/>
          <w:tblHeader/>
        </w:trPr>
        <w:tc>
          <w:tcPr>
            <w:tcW w:w="4248" w:type="dxa"/>
            <w:tcBorders>
              <w:top w:val="single" w:sz="4" w:space="0" w:color="auto"/>
              <w:left w:val="single" w:sz="4" w:space="0" w:color="auto"/>
              <w:bottom w:val="single" w:sz="4" w:space="0" w:color="auto"/>
              <w:right w:val="single" w:sz="4" w:space="0" w:color="auto"/>
            </w:tcBorders>
            <w:shd w:val="clear" w:color="000000" w:fill="BDE7EE"/>
            <w:noWrap/>
            <w:vAlign w:val="bottom"/>
            <w:hideMark/>
          </w:tcPr>
          <w:p w14:paraId="1CD7E3C9" w14:textId="77777777" w:rsidR="002C73FB" w:rsidRPr="007F1CF3" w:rsidRDefault="002C73FB" w:rsidP="008F15FF">
            <w:pPr>
              <w:spacing w:after="0" w:line="240" w:lineRule="auto"/>
              <w:rPr>
                <w:rFonts w:ascii="Calibri" w:hAnsi="Calibri" w:cs="Times New Roman"/>
                <w:color w:val="000000"/>
                <w:szCs w:val="22"/>
                <w:lang w:eastAsia="en-AU"/>
              </w:rPr>
            </w:pPr>
            <w:r>
              <w:rPr>
                <w:rFonts w:ascii="Calibri" w:hAnsi="Calibri" w:cs="Times New Roman"/>
                <w:color w:val="000000"/>
                <w:szCs w:val="22"/>
                <w:lang w:eastAsia="en-AU"/>
              </w:rPr>
              <w:t xml:space="preserve">Industry </w:t>
            </w:r>
          </w:p>
        </w:tc>
        <w:tc>
          <w:tcPr>
            <w:tcW w:w="2693" w:type="dxa"/>
            <w:tcBorders>
              <w:top w:val="single" w:sz="4" w:space="0" w:color="auto"/>
              <w:left w:val="nil"/>
              <w:bottom w:val="single" w:sz="4" w:space="0" w:color="auto"/>
              <w:right w:val="single" w:sz="4" w:space="0" w:color="auto"/>
            </w:tcBorders>
            <w:shd w:val="clear" w:color="000000" w:fill="BDE7EE"/>
            <w:noWrap/>
            <w:vAlign w:val="bottom"/>
            <w:hideMark/>
          </w:tcPr>
          <w:p w14:paraId="214A4B12" w14:textId="77777777" w:rsidR="002C73FB" w:rsidRPr="007F1CF3" w:rsidRDefault="002C73FB" w:rsidP="008F15FF">
            <w:pPr>
              <w:spacing w:after="0" w:line="240" w:lineRule="auto"/>
              <w:jc w:val="center"/>
              <w:rPr>
                <w:rFonts w:ascii="Calibri" w:hAnsi="Calibri" w:cs="Times New Roman"/>
                <w:color w:val="000000"/>
                <w:szCs w:val="22"/>
                <w:lang w:eastAsia="en-AU"/>
              </w:rPr>
            </w:pPr>
            <w:r w:rsidRPr="007F1CF3">
              <w:rPr>
                <w:rFonts w:ascii="Calibri" w:hAnsi="Calibri" w:cs="Times New Roman"/>
                <w:color w:val="000000"/>
                <w:szCs w:val="22"/>
                <w:lang w:eastAsia="en-AU"/>
              </w:rPr>
              <w:t xml:space="preserve">Average all-campaign  </w:t>
            </w:r>
            <w:r>
              <w:rPr>
                <w:rFonts w:ascii="Calibri" w:hAnsi="Calibri" w:cs="Times New Roman"/>
                <w:color w:val="000000"/>
                <w:szCs w:val="22"/>
                <w:lang w:eastAsia="en-AU"/>
              </w:rPr>
              <w:t>compliance rates</w:t>
            </w:r>
          </w:p>
        </w:tc>
        <w:tc>
          <w:tcPr>
            <w:tcW w:w="2552" w:type="dxa"/>
            <w:tcBorders>
              <w:top w:val="single" w:sz="4" w:space="0" w:color="auto"/>
              <w:left w:val="nil"/>
              <w:bottom w:val="single" w:sz="4" w:space="0" w:color="auto"/>
              <w:right w:val="single" w:sz="4" w:space="0" w:color="auto"/>
            </w:tcBorders>
            <w:shd w:val="clear" w:color="000000" w:fill="BDE7EE"/>
            <w:noWrap/>
            <w:vAlign w:val="bottom"/>
            <w:hideMark/>
          </w:tcPr>
          <w:p w14:paraId="3A2EBC18" w14:textId="43FB6468" w:rsidR="002C73FB" w:rsidRPr="007F1CF3" w:rsidRDefault="00B04692" w:rsidP="00924596">
            <w:pPr>
              <w:spacing w:after="0" w:line="240" w:lineRule="auto"/>
              <w:jc w:val="center"/>
              <w:rPr>
                <w:rFonts w:ascii="Calibri" w:hAnsi="Calibri" w:cs="Times New Roman"/>
                <w:color w:val="000000"/>
                <w:szCs w:val="22"/>
                <w:lang w:eastAsia="en-AU"/>
              </w:rPr>
            </w:pPr>
            <w:r>
              <w:rPr>
                <w:rFonts w:ascii="Calibri" w:hAnsi="Calibri" w:cs="Times New Roman"/>
                <w:color w:val="000000"/>
                <w:szCs w:val="22"/>
                <w:lang w:eastAsia="en-AU"/>
              </w:rPr>
              <w:t>NCM campaign</w:t>
            </w:r>
            <w:r w:rsidR="002C73FB">
              <w:rPr>
                <w:rFonts w:ascii="Calibri" w:hAnsi="Calibri" w:cs="Times New Roman"/>
                <w:color w:val="000000"/>
                <w:szCs w:val="22"/>
                <w:lang w:eastAsia="en-AU"/>
              </w:rPr>
              <w:t xml:space="preserve"> </w:t>
            </w:r>
            <w:r>
              <w:rPr>
                <w:rFonts w:ascii="Calibri" w:hAnsi="Calibri" w:cs="Times New Roman"/>
                <w:color w:val="000000"/>
                <w:szCs w:val="22"/>
                <w:lang w:eastAsia="en-AU"/>
              </w:rPr>
              <w:t xml:space="preserve">compliance </w:t>
            </w:r>
            <w:r w:rsidR="002C73FB">
              <w:rPr>
                <w:rFonts w:ascii="Calibri" w:hAnsi="Calibri" w:cs="Times New Roman"/>
                <w:color w:val="000000"/>
                <w:szCs w:val="22"/>
                <w:lang w:eastAsia="en-AU"/>
              </w:rPr>
              <w:t>rates</w:t>
            </w:r>
          </w:p>
        </w:tc>
      </w:tr>
      <w:tr w:rsidR="002C73FB" w:rsidRPr="007F1CF3" w14:paraId="437A28E4" w14:textId="77777777" w:rsidTr="008748E6">
        <w:trPr>
          <w:trHeight w:val="288"/>
          <w:tblHead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52FB7756" w14:textId="77777777" w:rsidR="002C73FB" w:rsidRPr="007F1CF3" w:rsidRDefault="002C73FB" w:rsidP="008F15FF">
            <w:pPr>
              <w:spacing w:after="0" w:line="240" w:lineRule="auto"/>
              <w:rPr>
                <w:rFonts w:ascii="Calibri" w:hAnsi="Calibri" w:cs="Times New Roman"/>
                <w:color w:val="000000"/>
                <w:szCs w:val="22"/>
                <w:lang w:eastAsia="en-AU"/>
              </w:rPr>
            </w:pPr>
            <w:r>
              <w:rPr>
                <w:rFonts w:ascii="Calibri" w:hAnsi="Calibri" w:cs="Times New Roman"/>
                <w:color w:val="000000"/>
                <w:szCs w:val="22"/>
                <w:lang w:eastAsia="en-AU"/>
              </w:rPr>
              <w:t>Accommodation and Food Services</w:t>
            </w:r>
          </w:p>
        </w:tc>
        <w:tc>
          <w:tcPr>
            <w:tcW w:w="2693" w:type="dxa"/>
            <w:tcBorders>
              <w:top w:val="nil"/>
              <w:left w:val="nil"/>
              <w:bottom w:val="single" w:sz="4" w:space="0" w:color="auto"/>
              <w:right w:val="single" w:sz="4" w:space="0" w:color="auto"/>
            </w:tcBorders>
            <w:shd w:val="clear" w:color="auto" w:fill="auto"/>
            <w:noWrap/>
            <w:vAlign w:val="bottom"/>
          </w:tcPr>
          <w:p w14:paraId="141E1322" w14:textId="77777777" w:rsidR="002C73FB" w:rsidRPr="007F1CF3" w:rsidRDefault="002C73FB" w:rsidP="008F15FF">
            <w:pPr>
              <w:spacing w:after="0" w:line="240" w:lineRule="auto"/>
              <w:jc w:val="center"/>
              <w:rPr>
                <w:rFonts w:ascii="Calibri" w:hAnsi="Calibri" w:cs="Times New Roman"/>
                <w:color w:val="000000"/>
                <w:szCs w:val="22"/>
                <w:lang w:eastAsia="en-AU"/>
              </w:rPr>
            </w:pPr>
            <w:r>
              <w:rPr>
                <w:rFonts w:ascii="Calibri" w:hAnsi="Calibri" w:cs="Times New Roman"/>
                <w:color w:val="000000"/>
                <w:szCs w:val="22"/>
                <w:lang w:eastAsia="en-AU"/>
              </w:rPr>
              <w:t>42%</w:t>
            </w:r>
          </w:p>
        </w:tc>
        <w:tc>
          <w:tcPr>
            <w:tcW w:w="2552" w:type="dxa"/>
            <w:tcBorders>
              <w:top w:val="nil"/>
              <w:left w:val="nil"/>
              <w:bottom w:val="single" w:sz="4" w:space="0" w:color="auto"/>
              <w:right w:val="single" w:sz="4" w:space="0" w:color="auto"/>
            </w:tcBorders>
            <w:shd w:val="clear" w:color="auto" w:fill="auto"/>
            <w:noWrap/>
            <w:vAlign w:val="bottom"/>
          </w:tcPr>
          <w:p w14:paraId="60D0C09D" w14:textId="77777777" w:rsidR="002C73FB" w:rsidRPr="007F1CF3" w:rsidRDefault="002C73FB" w:rsidP="008F15FF">
            <w:pPr>
              <w:spacing w:after="0" w:line="240" w:lineRule="auto"/>
              <w:jc w:val="center"/>
              <w:rPr>
                <w:rFonts w:ascii="Calibri" w:hAnsi="Calibri" w:cs="Times New Roman"/>
                <w:color w:val="000000"/>
                <w:szCs w:val="22"/>
                <w:lang w:eastAsia="en-AU"/>
              </w:rPr>
            </w:pPr>
            <w:r>
              <w:rPr>
                <w:rFonts w:ascii="Calibri" w:hAnsi="Calibri" w:cs="Times New Roman"/>
                <w:color w:val="000000"/>
                <w:szCs w:val="22"/>
                <w:lang w:eastAsia="en-AU"/>
              </w:rPr>
              <w:t>55%</w:t>
            </w:r>
          </w:p>
        </w:tc>
      </w:tr>
      <w:tr w:rsidR="002C73FB" w:rsidRPr="007F1CF3" w14:paraId="2B7D4A22" w14:textId="77777777" w:rsidTr="008748E6">
        <w:trPr>
          <w:trHeight w:val="288"/>
          <w:tblHead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407F9536" w14:textId="77777777" w:rsidR="002C73FB" w:rsidRPr="007F1CF3" w:rsidRDefault="002C73FB" w:rsidP="008F15FF">
            <w:pPr>
              <w:spacing w:after="0" w:line="240" w:lineRule="auto"/>
              <w:rPr>
                <w:rFonts w:ascii="Calibri" w:hAnsi="Calibri" w:cs="Times New Roman"/>
                <w:color w:val="000000"/>
                <w:szCs w:val="22"/>
                <w:lang w:eastAsia="en-AU"/>
              </w:rPr>
            </w:pPr>
            <w:r>
              <w:rPr>
                <w:rFonts w:ascii="Calibri" w:hAnsi="Calibri" w:cs="Times New Roman"/>
                <w:color w:val="000000"/>
                <w:szCs w:val="22"/>
                <w:lang w:eastAsia="en-AU"/>
              </w:rPr>
              <w:t>Administrative and Support Services</w:t>
            </w:r>
          </w:p>
        </w:tc>
        <w:tc>
          <w:tcPr>
            <w:tcW w:w="2693" w:type="dxa"/>
            <w:tcBorders>
              <w:top w:val="nil"/>
              <w:left w:val="nil"/>
              <w:bottom w:val="single" w:sz="4" w:space="0" w:color="auto"/>
              <w:right w:val="single" w:sz="4" w:space="0" w:color="auto"/>
            </w:tcBorders>
            <w:shd w:val="clear" w:color="auto" w:fill="auto"/>
            <w:noWrap/>
            <w:vAlign w:val="bottom"/>
          </w:tcPr>
          <w:p w14:paraId="798BFF0C" w14:textId="77777777" w:rsidR="002C73FB" w:rsidRPr="007F1CF3" w:rsidRDefault="002C73FB" w:rsidP="008F15FF">
            <w:pPr>
              <w:spacing w:after="0" w:line="240" w:lineRule="auto"/>
              <w:jc w:val="center"/>
              <w:rPr>
                <w:rFonts w:ascii="Calibri" w:hAnsi="Calibri" w:cs="Times New Roman"/>
                <w:color w:val="000000"/>
                <w:szCs w:val="22"/>
                <w:lang w:eastAsia="en-AU"/>
              </w:rPr>
            </w:pPr>
            <w:r>
              <w:rPr>
                <w:rFonts w:ascii="Calibri" w:hAnsi="Calibri" w:cs="Times New Roman"/>
                <w:color w:val="000000"/>
                <w:szCs w:val="22"/>
                <w:lang w:eastAsia="en-AU"/>
              </w:rPr>
              <w:t>59%</w:t>
            </w:r>
          </w:p>
        </w:tc>
        <w:tc>
          <w:tcPr>
            <w:tcW w:w="2552" w:type="dxa"/>
            <w:tcBorders>
              <w:top w:val="nil"/>
              <w:left w:val="nil"/>
              <w:bottom w:val="single" w:sz="4" w:space="0" w:color="auto"/>
              <w:right w:val="single" w:sz="4" w:space="0" w:color="auto"/>
            </w:tcBorders>
            <w:shd w:val="clear" w:color="auto" w:fill="auto"/>
            <w:noWrap/>
            <w:vAlign w:val="bottom"/>
          </w:tcPr>
          <w:p w14:paraId="0AC465AD" w14:textId="77777777" w:rsidR="002C73FB" w:rsidRPr="007F1CF3" w:rsidRDefault="002C73FB" w:rsidP="008F15FF">
            <w:pPr>
              <w:spacing w:after="0" w:line="240" w:lineRule="auto"/>
              <w:jc w:val="center"/>
              <w:rPr>
                <w:rFonts w:ascii="Calibri" w:hAnsi="Calibri" w:cs="Times New Roman"/>
                <w:color w:val="000000"/>
                <w:szCs w:val="22"/>
                <w:lang w:eastAsia="en-AU"/>
              </w:rPr>
            </w:pPr>
            <w:r>
              <w:rPr>
                <w:rFonts w:ascii="Calibri" w:hAnsi="Calibri" w:cs="Times New Roman"/>
                <w:color w:val="000000"/>
                <w:szCs w:val="22"/>
                <w:lang w:eastAsia="en-AU"/>
              </w:rPr>
              <w:t>71%</w:t>
            </w:r>
          </w:p>
        </w:tc>
      </w:tr>
      <w:tr w:rsidR="002C73FB" w:rsidRPr="007F1CF3" w14:paraId="2CEB6094" w14:textId="77777777" w:rsidTr="008748E6">
        <w:trPr>
          <w:trHeight w:val="288"/>
          <w:tblHead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0091BB3E" w14:textId="77777777" w:rsidR="002C73FB" w:rsidRPr="007F1CF3" w:rsidRDefault="002C73FB" w:rsidP="008F15FF">
            <w:pPr>
              <w:spacing w:after="0" w:line="240" w:lineRule="auto"/>
              <w:rPr>
                <w:rFonts w:ascii="Calibri" w:hAnsi="Calibri" w:cs="Times New Roman"/>
                <w:color w:val="000000"/>
                <w:szCs w:val="22"/>
                <w:lang w:eastAsia="en-AU"/>
              </w:rPr>
            </w:pPr>
            <w:r>
              <w:rPr>
                <w:rFonts w:ascii="Calibri" w:hAnsi="Calibri" w:cs="Times New Roman"/>
                <w:color w:val="000000"/>
                <w:szCs w:val="22"/>
                <w:lang w:eastAsia="en-AU"/>
              </w:rPr>
              <w:t>Construction</w:t>
            </w:r>
          </w:p>
        </w:tc>
        <w:tc>
          <w:tcPr>
            <w:tcW w:w="2693" w:type="dxa"/>
            <w:tcBorders>
              <w:top w:val="nil"/>
              <w:left w:val="nil"/>
              <w:bottom w:val="single" w:sz="4" w:space="0" w:color="auto"/>
              <w:right w:val="single" w:sz="4" w:space="0" w:color="auto"/>
            </w:tcBorders>
            <w:shd w:val="clear" w:color="auto" w:fill="auto"/>
            <w:noWrap/>
            <w:vAlign w:val="center"/>
          </w:tcPr>
          <w:p w14:paraId="71C8F889" w14:textId="77777777" w:rsidR="002C73FB" w:rsidRPr="007F1CF3" w:rsidRDefault="002C73FB">
            <w:pPr>
              <w:spacing w:after="0" w:line="240" w:lineRule="auto"/>
              <w:jc w:val="center"/>
              <w:rPr>
                <w:rFonts w:ascii="Calibri" w:hAnsi="Calibri" w:cs="Times New Roman"/>
                <w:color w:val="000000"/>
                <w:szCs w:val="22"/>
                <w:lang w:eastAsia="en-AU"/>
              </w:rPr>
            </w:pPr>
            <w:r>
              <w:rPr>
                <w:rFonts w:ascii="Calibri" w:hAnsi="Calibri" w:cs="Times New Roman"/>
                <w:color w:val="000000"/>
                <w:szCs w:val="22"/>
                <w:lang w:eastAsia="en-AU"/>
              </w:rPr>
              <w:t>57%</w:t>
            </w:r>
          </w:p>
        </w:tc>
        <w:tc>
          <w:tcPr>
            <w:tcW w:w="2552" w:type="dxa"/>
            <w:tcBorders>
              <w:top w:val="nil"/>
              <w:left w:val="nil"/>
              <w:bottom w:val="single" w:sz="4" w:space="0" w:color="auto"/>
              <w:right w:val="single" w:sz="4" w:space="0" w:color="auto"/>
            </w:tcBorders>
            <w:shd w:val="clear" w:color="auto" w:fill="auto"/>
            <w:noWrap/>
            <w:vAlign w:val="center"/>
          </w:tcPr>
          <w:p w14:paraId="45F396C2" w14:textId="77777777" w:rsidR="002C73FB" w:rsidRPr="007F1CF3" w:rsidRDefault="002C73FB">
            <w:pPr>
              <w:spacing w:after="0" w:line="240" w:lineRule="auto"/>
              <w:jc w:val="center"/>
              <w:rPr>
                <w:rFonts w:ascii="Calibri" w:hAnsi="Calibri" w:cs="Times New Roman"/>
                <w:color w:val="000000"/>
                <w:szCs w:val="22"/>
                <w:lang w:eastAsia="en-AU"/>
              </w:rPr>
            </w:pPr>
            <w:r>
              <w:rPr>
                <w:rFonts w:ascii="Calibri" w:hAnsi="Calibri" w:cs="Times New Roman"/>
                <w:color w:val="000000"/>
                <w:szCs w:val="22"/>
                <w:lang w:eastAsia="en-AU"/>
              </w:rPr>
              <w:t>56%</w:t>
            </w:r>
          </w:p>
        </w:tc>
      </w:tr>
      <w:tr w:rsidR="002C73FB" w:rsidRPr="007F1CF3" w14:paraId="313F53DC" w14:textId="77777777" w:rsidTr="008748E6">
        <w:trPr>
          <w:trHeight w:val="288"/>
          <w:tblHead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5CE4C7E9" w14:textId="77777777" w:rsidR="002C73FB" w:rsidRDefault="002C73FB" w:rsidP="008F15FF">
            <w:pPr>
              <w:spacing w:after="0" w:line="240" w:lineRule="auto"/>
              <w:rPr>
                <w:rFonts w:ascii="Calibri" w:hAnsi="Calibri" w:cs="Times New Roman"/>
                <w:color w:val="000000"/>
                <w:szCs w:val="22"/>
                <w:lang w:eastAsia="en-AU"/>
              </w:rPr>
            </w:pPr>
            <w:r>
              <w:rPr>
                <w:rFonts w:ascii="Calibri" w:hAnsi="Calibri" w:cs="Times New Roman"/>
                <w:color w:val="000000"/>
                <w:szCs w:val="22"/>
                <w:lang w:eastAsia="en-AU"/>
              </w:rPr>
              <w:t>Health Care and Social Assistance</w:t>
            </w:r>
          </w:p>
        </w:tc>
        <w:tc>
          <w:tcPr>
            <w:tcW w:w="2693" w:type="dxa"/>
            <w:tcBorders>
              <w:top w:val="nil"/>
              <w:left w:val="nil"/>
              <w:bottom w:val="single" w:sz="4" w:space="0" w:color="auto"/>
              <w:right w:val="single" w:sz="4" w:space="0" w:color="auto"/>
            </w:tcBorders>
            <w:shd w:val="clear" w:color="auto" w:fill="auto"/>
            <w:noWrap/>
            <w:vAlign w:val="center"/>
          </w:tcPr>
          <w:p w14:paraId="4FD60DAF" w14:textId="77777777" w:rsidR="002C73FB" w:rsidRPr="007F1CF3" w:rsidRDefault="002C73FB">
            <w:pPr>
              <w:spacing w:after="0" w:line="240" w:lineRule="auto"/>
              <w:jc w:val="center"/>
              <w:rPr>
                <w:rFonts w:ascii="Calibri" w:hAnsi="Calibri" w:cs="Times New Roman"/>
                <w:color w:val="000000"/>
                <w:szCs w:val="22"/>
                <w:lang w:eastAsia="en-AU"/>
              </w:rPr>
            </w:pPr>
            <w:r>
              <w:rPr>
                <w:rFonts w:ascii="Calibri" w:hAnsi="Calibri" w:cs="Times New Roman"/>
                <w:color w:val="000000"/>
                <w:szCs w:val="22"/>
                <w:lang w:eastAsia="en-AU"/>
              </w:rPr>
              <w:t>67%</w:t>
            </w:r>
          </w:p>
        </w:tc>
        <w:tc>
          <w:tcPr>
            <w:tcW w:w="2552" w:type="dxa"/>
            <w:tcBorders>
              <w:top w:val="nil"/>
              <w:left w:val="nil"/>
              <w:bottom w:val="single" w:sz="4" w:space="0" w:color="auto"/>
              <w:right w:val="single" w:sz="4" w:space="0" w:color="auto"/>
            </w:tcBorders>
            <w:shd w:val="clear" w:color="auto" w:fill="auto"/>
            <w:noWrap/>
            <w:vAlign w:val="center"/>
          </w:tcPr>
          <w:p w14:paraId="61D7DCD2" w14:textId="77777777" w:rsidR="002C73FB" w:rsidRPr="007F1CF3" w:rsidRDefault="002C73FB">
            <w:pPr>
              <w:spacing w:after="0" w:line="240" w:lineRule="auto"/>
              <w:jc w:val="center"/>
              <w:rPr>
                <w:rFonts w:ascii="Calibri" w:hAnsi="Calibri" w:cs="Times New Roman"/>
                <w:color w:val="000000"/>
                <w:szCs w:val="22"/>
                <w:lang w:eastAsia="en-AU"/>
              </w:rPr>
            </w:pPr>
            <w:r>
              <w:rPr>
                <w:rFonts w:ascii="Calibri" w:hAnsi="Calibri" w:cs="Times New Roman"/>
                <w:color w:val="000000"/>
                <w:szCs w:val="22"/>
                <w:lang w:eastAsia="en-AU"/>
              </w:rPr>
              <w:t>67%</w:t>
            </w:r>
          </w:p>
        </w:tc>
      </w:tr>
      <w:tr w:rsidR="002C73FB" w:rsidRPr="007F1CF3" w14:paraId="35C947A6" w14:textId="77777777" w:rsidTr="008748E6">
        <w:trPr>
          <w:trHeight w:val="288"/>
          <w:tblHead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580E427" w14:textId="77777777" w:rsidR="002C73FB" w:rsidRDefault="002C73FB" w:rsidP="008F15FF">
            <w:pPr>
              <w:spacing w:after="0" w:line="240" w:lineRule="auto"/>
              <w:rPr>
                <w:rFonts w:ascii="Calibri" w:hAnsi="Calibri" w:cs="Times New Roman"/>
                <w:color w:val="000000"/>
                <w:szCs w:val="22"/>
                <w:lang w:eastAsia="en-AU"/>
              </w:rPr>
            </w:pPr>
            <w:r>
              <w:rPr>
                <w:rFonts w:ascii="Calibri" w:hAnsi="Calibri" w:cs="Times New Roman"/>
                <w:color w:val="000000"/>
                <w:szCs w:val="22"/>
                <w:lang w:eastAsia="en-AU"/>
              </w:rPr>
              <w:t xml:space="preserve">Manufacturing </w:t>
            </w:r>
          </w:p>
        </w:tc>
        <w:tc>
          <w:tcPr>
            <w:tcW w:w="2693" w:type="dxa"/>
            <w:tcBorders>
              <w:top w:val="nil"/>
              <w:left w:val="nil"/>
              <w:bottom w:val="single" w:sz="4" w:space="0" w:color="auto"/>
              <w:right w:val="single" w:sz="4" w:space="0" w:color="auto"/>
            </w:tcBorders>
            <w:shd w:val="clear" w:color="auto" w:fill="auto"/>
            <w:noWrap/>
            <w:vAlign w:val="center"/>
          </w:tcPr>
          <w:p w14:paraId="1CBDA614" w14:textId="77777777" w:rsidR="002C73FB" w:rsidRPr="007F1CF3" w:rsidRDefault="002C73FB">
            <w:pPr>
              <w:spacing w:after="0" w:line="240" w:lineRule="auto"/>
              <w:jc w:val="center"/>
              <w:rPr>
                <w:rFonts w:ascii="Calibri" w:hAnsi="Calibri" w:cs="Times New Roman"/>
                <w:color w:val="000000"/>
                <w:szCs w:val="22"/>
                <w:lang w:eastAsia="en-AU"/>
              </w:rPr>
            </w:pPr>
            <w:r>
              <w:rPr>
                <w:rFonts w:ascii="Calibri" w:hAnsi="Calibri" w:cs="Times New Roman"/>
                <w:color w:val="000000"/>
                <w:szCs w:val="22"/>
                <w:lang w:eastAsia="en-AU"/>
              </w:rPr>
              <w:t>54%</w:t>
            </w:r>
          </w:p>
        </w:tc>
        <w:tc>
          <w:tcPr>
            <w:tcW w:w="2552" w:type="dxa"/>
            <w:tcBorders>
              <w:top w:val="nil"/>
              <w:left w:val="nil"/>
              <w:bottom w:val="single" w:sz="4" w:space="0" w:color="auto"/>
              <w:right w:val="single" w:sz="4" w:space="0" w:color="auto"/>
            </w:tcBorders>
            <w:shd w:val="clear" w:color="auto" w:fill="auto"/>
            <w:noWrap/>
            <w:vAlign w:val="center"/>
          </w:tcPr>
          <w:p w14:paraId="3299150C" w14:textId="77777777" w:rsidR="002C73FB" w:rsidRPr="007F1CF3" w:rsidRDefault="002C73FB">
            <w:pPr>
              <w:spacing w:after="0" w:line="240" w:lineRule="auto"/>
              <w:jc w:val="center"/>
              <w:rPr>
                <w:rFonts w:ascii="Calibri" w:hAnsi="Calibri" w:cs="Times New Roman"/>
                <w:color w:val="000000"/>
                <w:szCs w:val="22"/>
                <w:lang w:eastAsia="en-AU"/>
              </w:rPr>
            </w:pPr>
            <w:r>
              <w:rPr>
                <w:rFonts w:ascii="Calibri" w:hAnsi="Calibri" w:cs="Times New Roman"/>
                <w:color w:val="000000"/>
                <w:szCs w:val="22"/>
                <w:lang w:eastAsia="en-AU"/>
              </w:rPr>
              <w:t>61%</w:t>
            </w:r>
          </w:p>
        </w:tc>
      </w:tr>
      <w:tr w:rsidR="002C73FB" w:rsidRPr="007F1CF3" w14:paraId="74F2008C" w14:textId="77777777" w:rsidTr="008748E6">
        <w:trPr>
          <w:trHeight w:val="288"/>
          <w:tblHead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05CE806D" w14:textId="77777777" w:rsidR="002C73FB" w:rsidRDefault="002C73FB" w:rsidP="008F15FF">
            <w:pPr>
              <w:spacing w:after="0" w:line="240" w:lineRule="auto"/>
              <w:rPr>
                <w:rFonts w:ascii="Calibri" w:hAnsi="Calibri" w:cs="Times New Roman"/>
                <w:color w:val="000000"/>
                <w:szCs w:val="22"/>
                <w:lang w:eastAsia="en-AU"/>
              </w:rPr>
            </w:pPr>
            <w:r>
              <w:rPr>
                <w:rFonts w:ascii="Calibri" w:hAnsi="Calibri" w:cs="Times New Roman"/>
                <w:color w:val="000000"/>
                <w:szCs w:val="22"/>
                <w:lang w:eastAsia="en-AU"/>
              </w:rPr>
              <w:t>Other Services</w:t>
            </w:r>
          </w:p>
        </w:tc>
        <w:tc>
          <w:tcPr>
            <w:tcW w:w="2693" w:type="dxa"/>
            <w:tcBorders>
              <w:top w:val="nil"/>
              <w:left w:val="nil"/>
              <w:bottom w:val="single" w:sz="4" w:space="0" w:color="auto"/>
              <w:right w:val="single" w:sz="4" w:space="0" w:color="auto"/>
            </w:tcBorders>
            <w:shd w:val="clear" w:color="auto" w:fill="auto"/>
            <w:noWrap/>
            <w:vAlign w:val="center"/>
          </w:tcPr>
          <w:p w14:paraId="5E219642" w14:textId="77777777" w:rsidR="002C73FB" w:rsidRPr="007F1CF3" w:rsidRDefault="002C73FB">
            <w:pPr>
              <w:spacing w:after="0" w:line="240" w:lineRule="auto"/>
              <w:jc w:val="center"/>
              <w:rPr>
                <w:rFonts w:ascii="Calibri" w:hAnsi="Calibri" w:cs="Times New Roman"/>
                <w:color w:val="000000"/>
                <w:szCs w:val="22"/>
                <w:lang w:eastAsia="en-AU"/>
              </w:rPr>
            </w:pPr>
            <w:r>
              <w:rPr>
                <w:rFonts w:ascii="Calibri" w:hAnsi="Calibri" w:cs="Times New Roman"/>
                <w:color w:val="000000"/>
                <w:szCs w:val="22"/>
                <w:lang w:eastAsia="en-AU"/>
              </w:rPr>
              <w:t>53%</w:t>
            </w:r>
          </w:p>
        </w:tc>
        <w:tc>
          <w:tcPr>
            <w:tcW w:w="2552" w:type="dxa"/>
            <w:tcBorders>
              <w:top w:val="nil"/>
              <w:left w:val="nil"/>
              <w:bottom w:val="single" w:sz="4" w:space="0" w:color="auto"/>
              <w:right w:val="single" w:sz="4" w:space="0" w:color="auto"/>
            </w:tcBorders>
            <w:shd w:val="clear" w:color="auto" w:fill="auto"/>
            <w:noWrap/>
            <w:vAlign w:val="center"/>
          </w:tcPr>
          <w:p w14:paraId="498E58D0" w14:textId="77777777" w:rsidR="002C73FB" w:rsidRPr="007F1CF3" w:rsidRDefault="002C73FB">
            <w:pPr>
              <w:spacing w:after="0" w:line="240" w:lineRule="auto"/>
              <w:jc w:val="center"/>
              <w:rPr>
                <w:rFonts w:ascii="Calibri" w:hAnsi="Calibri" w:cs="Times New Roman"/>
                <w:color w:val="000000"/>
                <w:szCs w:val="22"/>
                <w:lang w:eastAsia="en-AU"/>
              </w:rPr>
            </w:pPr>
            <w:r>
              <w:rPr>
                <w:rFonts w:ascii="Calibri" w:hAnsi="Calibri" w:cs="Times New Roman"/>
                <w:color w:val="000000"/>
                <w:szCs w:val="22"/>
                <w:lang w:eastAsia="en-AU"/>
              </w:rPr>
              <w:t>63%</w:t>
            </w:r>
          </w:p>
        </w:tc>
      </w:tr>
      <w:tr w:rsidR="002C73FB" w:rsidRPr="007F1CF3" w14:paraId="1EB9839A" w14:textId="77777777" w:rsidTr="008748E6">
        <w:trPr>
          <w:trHeight w:val="246"/>
          <w:tblHead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030BE4AA" w14:textId="77777777" w:rsidR="002C73FB" w:rsidRPr="007F1CF3" w:rsidRDefault="002C73FB" w:rsidP="008F15FF">
            <w:pPr>
              <w:spacing w:after="0" w:line="240" w:lineRule="auto"/>
              <w:rPr>
                <w:rFonts w:ascii="Calibri" w:hAnsi="Calibri" w:cs="Times New Roman"/>
                <w:color w:val="000000"/>
                <w:szCs w:val="22"/>
                <w:lang w:eastAsia="en-AU"/>
              </w:rPr>
            </w:pPr>
            <w:r>
              <w:rPr>
                <w:rFonts w:ascii="Calibri" w:hAnsi="Calibri" w:cs="Times New Roman"/>
                <w:color w:val="000000"/>
                <w:szCs w:val="22"/>
                <w:lang w:eastAsia="en-AU"/>
              </w:rPr>
              <w:t>Professional Scientific and Technical Services</w:t>
            </w:r>
          </w:p>
        </w:tc>
        <w:tc>
          <w:tcPr>
            <w:tcW w:w="2693" w:type="dxa"/>
            <w:tcBorders>
              <w:top w:val="nil"/>
              <w:left w:val="nil"/>
              <w:bottom w:val="single" w:sz="4" w:space="0" w:color="auto"/>
              <w:right w:val="single" w:sz="4" w:space="0" w:color="auto"/>
            </w:tcBorders>
            <w:shd w:val="clear" w:color="auto" w:fill="auto"/>
            <w:noWrap/>
            <w:vAlign w:val="center"/>
          </w:tcPr>
          <w:p w14:paraId="6749CF21" w14:textId="588871F2" w:rsidR="00C91B00" w:rsidRPr="007F1CF3" w:rsidRDefault="002C73FB" w:rsidP="001E2E2F">
            <w:pPr>
              <w:spacing w:after="0" w:line="240" w:lineRule="auto"/>
              <w:jc w:val="center"/>
              <w:rPr>
                <w:rFonts w:ascii="Calibri" w:hAnsi="Calibri" w:cs="Times New Roman"/>
                <w:color w:val="000000"/>
                <w:szCs w:val="22"/>
                <w:lang w:eastAsia="en-AU"/>
              </w:rPr>
            </w:pPr>
            <w:r>
              <w:rPr>
                <w:rFonts w:ascii="Calibri" w:hAnsi="Calibri" w:cs="Times New Roman"/>
                <w:color w:val="000000"/>
                <w:szCs w:val="22"/>
                <w:lang w:eastAsia="en-AU"/>
              </w:rPr>
              <w:t>57%</w:t>
            </w:r>
          </w:p>
        </w:tc>
        <w:tc>
          <w:tcPr>
            <w:tcW w:w="2552" w:type="dxa"/>
            <w:tcBorders>
              <w:top w:val="nil"/>
              <w:left w:val="nil"/>
              <w:bottom w:val="single" w:sz="4" w:space="0" w:color="auto"/>
              <w:right w:val="single" w:sz="4" w:space="0" w:color="auto"/>
            </w:tcBorders>
            <w:shd w:val="clear" w:color="auto" w:fill="auto"/>
            <w:noWrap/>
          </w:tcPr>
          <w:p w14:paraId="159C0D5E" w14:textId="6E009DC4" w:rsidR="002C73FB" w:rsidRPr="007F1CF3" w:rsidRDefault="00F74772">
            <w:pPr>
              <w:spacing w:after="0" w:line="240" w:lineRule="auto"/>
              <w:jc w:val="center"/>
              <w:rPr>
                <w:rFonts w:ascii="Calibri" w:hAnsi="Calibri" w:cs="Times New Roman"/>
                <w:color w:val="000000"/>
                <w:szCs w:val="22"/>
                <w:lang w:eastAsia="en-AU"/>
              </w:rPr>
            </w:pPr>
            <w:r>
              <w:rPr>
                <w:rFonts w:ascii="Calibri" w:hAnsi="Calibri" w:cs="Times New Roman"/>
                <w:color w:val="000000"/>
                <w:szCs w:val="22"/>
                <w:lang w:eastAsia="en-AU"/>
              </w:rPr>
              <w:t xml:space="preserve">75% </w:t>
            </w:r>
          </w:p>
        </w:tc>
      </w:tr>
      <w:tr w:rsidR="002C73FB" w:rsidRPr="007F1CF3" w14:paraId="5381431E" w14:textId="77777777" w:rsidTr="008748E6">
        <w:trPr>
          <w:trHeight w:val="219"/>
          <w:tblHead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4DFA641D" w14:textId="77777777" w:rsidR="002C73FB" w:rsidRPr="007F1CF3" w:rsidRDefault="002C73FB" w:rsidP="008F15FF">
            <w:pPr>
              <w:spacing w:after="0" w:line="240" w:lineRule="auto"/>
              <w:rPr>
                <w:rFonts w:ascii="Calibri" w:hAnsi="Calibri" w:cs="Times New Roman"/>
                <w:color w:val="000000"/>
                <w:szCs w:val="22"/>
                <w:lang w:eastAsia="en-AU"/>
              </w:rPr>
            </w:pPr>
            <w:r>
              <w:rPr>
                <w:rFonts w:ascii="Calibri" w:hAnsi="Calibri" w:cs="Times New Roman"/>
                <w:color w:val="000000"/>
                <w:szCs w:val="22"/>
                <w:lang w:eastAsia="en-AU"/>
              </w:rPr>
              <w:t>Retail Trade</w:t>
            </w:r>
          </w:p>
        </w:tc>
        <w:tc>
          <w:tcPr>
            <w:tcW w:w="2693" w:type="dxa"/>
            <w:tcBorders>
              <w:top w:val="nil"/>
              <w:left w:val="nil"/>
              <w:bottom w:val="single" w:sz="4" w:space="0" w:color="auto"/>
              <w:right w:val="single" w:sz="4" w:space="0" w:color="auto"/>
            </w:tcBorders>
            <w:shd w:val="clear" w:color="auto" w:fill="auto"/>
            <w:noWrap/>
            <w:vAlign w:val="center"/>
          </w:tcPr>
          <w:p w14:paraId="19DF9D15" w14:textId="77777777" w:rsidR="002C73FB" w:rsidRPr="007F1CF3" w:rsidRDefault="002C73FB">
            <w:pPr>
              <w:spacing w:after="0" w:line="240" w:lineRule="auto"/>
              <w:jc w:val="center"/>
              <w:rPr>
                <w:rFonts w:ascii="Calibri" w:hAnsi="Calibri" w:cs="Times New Roman"/>
                <w:color w:val="000000"/>
                <w:szCs w:val="22"/>
                <w:lang w:eastAsia="en-AU"/>
              </w:rPr>
            </w:pPr>
            <w:r>
              <w:rPr>
                <w:rFonts w:ascii="Calibri" w:hAnsi="Calibri" w:cs="Times New Roman"/>
                <w:color w:val="000000"/>
                <w:szCs w:val="22"/>
                <w:lang w:eastAsia="en-AU"/>
              </w:rPr>
              <w:t>53%</w:t>
            </w:r>
          </w:p>
        </w:tc>
        <w:tc>
          <w:tcPr>
            <w:tcW w:w="2552" w:type="dxa"/>
            <w:tcBorders>
              <w:top w:val="nil"/>
              <w:left w:val="nil"/>
              <w:bottom w:val="single" w:sz="4" w:space="0" w:color="auto"/>
              <w:right w:val="single" w:sz="4" w:space="0" w:color="auto"/>
            </w:tcBorders>
            <w:shd w:val="clear" w:color="auto" w:fill="auto"/>
            <w:noWrap/>
            <w:vAlign w:val="center"/>
          </w:tcPr>
          <w:p w14:paraId="3299DB5D" w14:textId="77777777" w:rsidR="002C73FB" w:rsidRPr="007F1CF3" w:rsidRDefault="002C73FB">
            <w:pPr>
              <w:spacing w:after="0" w:line="240" w:lineRule="auto"/>
              <w:jc w:val="center"/>
              <w:rPr>
                <w:rFonts w:ascii="Calibri" w:hAnsi="Calibri" w:cs="Times New Roman"/>
                <w:color w:val="000000"/>
                <w:szCs w:val="22"/>
                <w:lang w:eastAsia="en-AU"/>
              </w:rPr>
            </w:pPr>
            <w:r>
              <w:rPr>
                <w:rFonts w:ascii="Calibri" w:hAnsi="Calibri" w:cs="Times New Roman"/>
                <w:color w:val="000000"/>
                <w:szCs w:val="22"/>
                <w:lang w:eastAsia="en-AU"/>
              </w:rPr>
              <w:t>65%</w:t>
            </w:r>
          </w:p>
        </w:tc>
      </w:tr>
      <w:tr w:rsidR="002C73FB" w:rsidRPr="007F1CF3" w14:paraId="4D44966C" w14:textId="77777777" w:rsidTr="008748E6">
        <w:trPr>
          <w:trHeight w:val="288"/>
          <w:tblHead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20F8C8EA" w14:textId="77777777" w:rsidR="002C73FB" w:rsidRPr="007F1CF3" w:rsidRDefault="002C73FB" w:rsidP="008F15FF">
            <w:pPr>
              <w:spacing w:after="0" w:line="240" w:lineRule="auto"/>
              <w:rPr>
                <w:rFonts w:ascii="Calibri" w:hAnsi="Calibri" w:cs="Times New Roman"/>
                <w:color w:val="000000"/>
                <w:szCs w:val="22"/>
                <w:lang w:eastAsia="en-AU"/>
              </w:rPr>
            </w:pPr>
            <w:r>
              <w:rPr>
                <w:rFonts w:ascii="Calibri" w:hAnsi="Calibri" w:cs="Times New Roman"/>
                <w:color w:val="000000"/>
                <w:szCs w:val="22"/>
                <w:lang w:eastAsia="en-AU"/>
              </w:rPr>
              <w:t>Wholesale Trade</w:t>
            </w:r>
          </w:p>
        </w:tc>
        <w:tc>
          <w:tcPr>
            <w:tcW w:w="2693" w:type="dxa"/>
            <w:tcBorders>
              <w:top w:val="nil"/>
              <w:left w:val="nil"/>
              <w:bottom w:val="single" w:sz="4" w:space="0" w:color="auto"/>
              <w:right w:val="single" w:sz="4" w:space="0" w:color="auto"/>
            </w:tcBorders>
            <w:shd w:val="clear" w:color="auto" w:fill="auto"/>
            <w:noWrap/>
            <w:vAlign w:val="center"/>
          </w:tcPr>
          <w:p w14:paraId="03408BE2" w14:textId="77777777" w:rsidR="002C73FB" w:rsidRPr="007F1CF3" w:rsidRDefault="002C73FB">
            <w:pPr>
              <w:spacing w:after="0" w:line="240" w:lineRule="auto"/>
              <w:jc w:val="center"/>
              <w:rPr>
                <w:rFonts w:ascii="Calibri" w:hAnsi="Calibri" w:cs="Times New Roman"/>
                <w:color w:val="000000"/>
                <w:szCs w:val="22"/>
                <w:lang w:eastAsia="en-AU"/>
              </w:rPr>
            </w:pPr>
            <w:r>
              <w:rPr>
                <w:rFonts w:ascii="Calibri" w:hAnsi="Calibri" w:cs="Times New Roman"/>
                <w:color w:val="000000"/>
                <w:szCs w:val="22"/>
                <w:lang w:eastAsia="en-AU"/>
              </w:rPr>
              <w:t>56%</w:t>
            </w:r>
          </w:p>
        </w:tc>
        <w:tc>
          <w:tcPr>
            <w:tcW w:w="2552" w:type="dxa"/>
            <w:tcBorders>
              <w:top w:val="nil"/>
              <w:left w:val="nil"/>
              <w:bottom w:val="single" w:sz="4" w:space="0" w:color="auto"/>
              <w:right w:val="single" w:sz="4" w:space="0" w:color="auto"/>
            </w:tcBorders>
            <w:shd w:val="clear" w:color="auto" w:fill="auto"/>
            <w:noWrap/>
            <w:vAlign w:val="center"/>
          </w:tcPr>
          <w:p w14:paraId="5E430C88" w14:textId="77777777" w:rsidR="002C73FB" w:rsidRPr="007F1CF3" w:rsidRDefault="002C73FB">
            <w:pPr>
              <w:spacing w:after="0" w:line="240" w:lineRule="auto"/>
              <w:jc w:val="center"/>
              <w:rPr>
                <w:rFonts w:ascii="Calibri" w:hAnsi="Calibri" w:cs="Times New Roman"/>
                <w:color w:val="000000"/>
                <w:szCs w:val="22"/>
                <w:lang w:eastAsia="en-AU"/>
              </w:rPr>
            </w:pPr>
            <w:r>
              <w:rPr>
                <w:rFonts w:ascii="Calibri" w:hAnsi="Calibri" w:cs="Times New Roman"/>
                <w:color w:val="000000"/>
                <w:szCs w:val="22"/>
                <w:lang w:eastAsia="en-AU"/>
              </w:rPr>
              <w:t>60%</w:t>
            </w:r>
          </w:p>
        </w:tc>
      </w:tr>
    </w:tbl>
    <w:p w14:paraId="5B4B95FC" w14:textId="77777777" w:rsidR="00AC35F6" w:rsidRDefault="00AC35F6" w:rsidP="00AC35F6">
      <w:pPr>
        <w:spacing w:after="0" w:line="240" w:lineRule="auto"/>
        <w:rPr>
          <w:rFonts w:cs="Helvetica"/>
        </w:rPr>
      </w:pPr>
    </w:p>
    <w:p w14:paraId="7DC5BBD6" w14:textId="6F0165DB" w:rsidR="00BF577E" w:rsidRDefault="008E01C9" w:rsidP="00261EA4">
      <w:pPr>
        <w:rPr>
          <w:rFonts w:cs="Helvetica"/>
        </w:rPr>
      </w:pPr>
      <w:r>
        <w:rPr>
          <w:rFonts w:cs="Helvetica"/>
        </w:rPr>
        <w:t>While</w:t>
      </w:r>
      <w:r w:rsidR="00585A31">
        <w:rPr>
          <w:rFonts w:cs="Helvetica"/>
        </w:rPr>
        <w:t xml:space="preserve"> </w:t>
      </w:r>
      <w:r w:rsidR="0099498A">
        <w:rPr>
          <w:rFonts w:cs="Helvetica"/>
        </w:rPr>
        <w:t xml:space="preserve">highlighting </w:t>
      </w:r>
      <w:r w:rsidR="000D09E1">
        <w:rPr>
          <w:rFonts w:cs="Helvetica"/>
        </w:rPr>
        <w:t xml:space="preserve">the </w:t>
      </w:r>
      <w:r w:rsidR="0099498A">
        <w:rPr>
          <w:rFonts w:cs="Helvetica"/>
        </w:rPr>
        <w:t>positive i</w:t>
      </w:r>
      <w:r w:rsidR="00585A31">
        <w:rPr>
          <w:rFonts w:cs="Helvetica"/>
        </w:rPr>
        <w:t>mpact</w:t>
      </w:r>
      <w:r w:rsidR="008F15FF">
        <w:rPr>
          <w:rFonts w:cs="Helvetica"/>
        </w:rPr>
        <w:t xml:space="preserve"> that </w:t>
      </w:r>
      <w:r w:rsidR="00737CD4">
        <w:rPr>
          <w:rFonts w:cs="Helvetica"/>
        </w:rPr>
        <w:t xml:space="preserve">the </w:t>
      </w:r>
      <w:r w:rsidR="00585A31">
        <w:rPr>
          <w:rFonts w:cs="Helvetica"/>
        </w:rPr>
        <w:t xml:space="preserve">FWOs </w:t>
      </w:r>
      <w:r w:rsidR="00E33957">
        <w:rPr>
          <w:rFonts w:cs="Helvetica"/>
        </w:rPr>
        <w:t xml:space="preserve">audit </w:t>
      </w:r>
      <w:r w:rsidR="00585A31">
        <w:rPr>
          <w:rFonts w:cs="Helvetica"/>
        </w:rPr>
        <w:t xml:space="preserve">interactions </w:t>
      </w:r>
      <w:r w:rsidR="008F15FF">
        <w:rPr>
          <w:rFonts w:cs="Helvetica"/>
        </w:rPr>
        <w:t>have on</w:t>
      </w:r>
      <w:r w:rsidR="0099498A">
        <w:rPr>
          <w:rFonts w:cs="Helvetica"/>
        </w:rPr>
        <w:t xml:space="preserve"> employer behaviours, the</w:t>
      </w:r>
      <w:r w:rsidR="00E956C1">
        <w:rPr>
          <w:rFonts w:cs="Helvetica"/>
        </w:rPr>
        <w:t>se</w:t>
      </w:r>
      <w:r w:rsidR="0099498A">
        <w:rPr>
          <w:rFonts w:cs="Helvetica"/>
        </w:rPr>
        <w:t xml:space="preserve"> results</w:t>
      </w:r>
      <w:r w:rsidR="00E33957">
        <w:rPr>
          <w:rFonts w:cs="Helvetica"/>
        </w:rPr>
        <w:t xml:space="preserve"> </w:t>
      </w:r>
      <w:r w:rsidR="00AC6889">
        <w:rPr>
          <w:rFonts w:cs="Helvetica"/>
        </w:rPr>
        <w:t xml:space="preserve">also </w:t>
      </w:r>
      <w:r w:rsidR="0099498A">
        <w:rPr>
          <w:rFonts w:cs="Helvetica"/>
        </w:rPr>
        <w:t xml:space="preserve">confirm </w:t>
      </w:r>
      <w:r w:rsidR="00E956C1">
        <w:rPr>
          <w:rFonts w:cs="Helvetica"/>
        </w:rPr>
        <w:t xml:space="preserve">the </w:t>
      </w:r>
      <w:r w:rsidR="0099498A">
        <w:rPr>
          <w:rFonts w:cs="Helvetica"/>
        </w:rPr>
        <w:t>need for continued monitoring</w:t>
      </w:r>
      <w:r w:rsidR="00046825">
        <w:rPr>
          <w:rFonts w:cs="Helvetica"/>
        </w:rPr>
        <w:t>, especially</w:t>
      </w:r>
      <w:r w:rsidR="0099498A">
        <w:rPr>
          <w:rFonts w:cs="Helvetica"/>
        </w:rPr>
        <w:t xml:space="preserve"> in industries </w:t>
      </w:r>
      <w:r w:rsidR="00626ADA">
        <w:rPr>
          <w:rFonts w:cs="Helvetica"/>
        </w:rPr>
        <w:t>with</w:t>
      </w:r>
      <w:r w:rsidR="0099498A">
        <w:rPr>
          <w:rFonts w:cs="Helvetica"/>
        </w:rPr>
        <w:t xml:space="preserve"> </w:t>
      </w:r>
      <w:r w:rsidR="00626ADA">
        <w:rPr>
          <w:rFonts w:cs="Helvetica"/>
        </w:rPr>
        <w:t>the h</w:t>
      </w:r>
      <w:r w:rsidR="0099498A">
        <w:rPr>
          <w:rFonts w:cs="Helvetica"/>
        </w:rPr>
        <w:t>ighe</w:t>
      </w:r>
      <w:r w:rsidR="00626ADA">
        <w:rPr>
          <w:rFonts w:cs="Helvetica"/>
        </w:rPr>
        <w:t>st</w:t>
      </w:r>
      <w:r w:rsidR="0099498A">
        <w:rPr>
          <w:rFonts w:cs="Helvetica"/>
        </w:rPr>
        <w:t xml:space="preserve"> levels of non-compliance</w:t>
      </w:r>
      <w:r w:rsidR="00626ADA">
        <w:rPr>
          <w:rFonts w:cs="Helvetica"/>
        </w:rPr>
        <w:t>.</w:t>
      </w:r>
      <w:r w:rsidR="0099498A">
        <w:rPr>
          <w:rFonts w:cs="Helvetica"/>
        </w:rPr>
        <w:t xml:space="preserve"> </w:t>
      </w:r>
    </w:p>
    <w:p w14:paraId="25C3F209" w14:textId="5347867A" w:rsidR="00626ADA" w:rsidRDefault="008B6D1A" w:rsidP="00261EA4">
      <w:pPr>
        <w:rPr>
          <w:rFonts w:cs="Helvetica"/>
        </w:rPr>
      </w:pPr>
      <w:r>
        <w:rPr>
          <w:rFonts w:cs="Helvetica"/>
        </w:rPr>
        <w:t>In the Accommodation and Food Services industry, for example, the results</w:t>
      </w:r>
      <w:r w:rsidR="00175E30">
        <w:rPr>
          <w:rFonts w:cs="Helvetica"/>
        </w:rPr>
        <w:t xml:space="preserve"> show</w:t>
      </w:r>
      <w:r>
        <w:rPr>
          <w:rFonts w:cs="Helvetica"/>
        </w:rPr>
        <w:t xml:space="preserve"> that 45% of employers previously identified as non-compliant continued to operate in breach of their </w:t>
      </w:r>
      <w:r w:rsidR="00BD6814">
        <w:rPr>
          <w:rFonts w:cs="Helvetica"/>
        </w:rPr>
        <w:t xml:space="preserve">workplace </w:t>
      </w:r>
      <w:r>
        <w:rPr>
          <w:rFonts w:cs="Helvetica"/>
        </w:rPr>
        <w:t xml:space="preserve">obligations. This means that the industry had both the highest recorded rate of non-compliance (all-campaign compliance rate), and </w:t>
      </w:r>
      <w:r w:rsidR="007F5284">
        <w:rPr>
          <w:rFonts w:cs="Helvetica"/>
        </w:rPr>
        <w:t>sustained</w:t>
      </w:r>
      <w:r>
        <w:rPr>
          <w:rFonts w:cs="Helvetica"/>
        </w:rPr>
        <w:t xml:space="preserve"> non-compliance (National Compliance Monitoring compliance rate) in the 2016-2017 period.</w:t>
      </w:r>
      <w:r w:rsidR="005929B1">
        <w:rPr>
          <w:rStyle w:val="FootnoteReference"/>
        </w:rPr>
        <w:footnoteReference w:id="19"/>
      </w:r>
      <w:r w:rsidR="005929B1">
        <w:rPr>
          <w:rFonts w:cs="Helvetica"/>
        </w:rPr>
        <w:t xml:space="preserve"> </w:t>
      </w:r>
      <w:r w:rsidR="002A7FB1">
        <w:rPr>
          <w:rFonts w:cs="Helvetica"/>
        </w:rPr>
        <w:t>Consistent with previous findings, such as</w:t>
      </w:r>
      <w:r w:rsidR="006F07AE">
        <w:rPr>
          <w:rFonts w:cs="Helvetica"/>
        </w:rPr>
        <w:t xml:space="preserve"> those discussed </w:t>
      </w:r>
      <w:r w:rsidR="002A7FB1">
        <w:rPr>
          <w:rFonts w:cs="Helvetica"/>
        </w:rPr>
        <w:t>in the</w:t>
      </w:r>
      <w:r w:rsidR="00885230">
        <w:rPr>
          <w:rFonts w:cs="Helvetica"/>
        </w:rPr>
        <w:t xml:space="preserve"> recent </w:t>
      </w:r>
      <w:hyperlink r:id="rId11" w:history="1">
        <w:r w:rsidR="00885230" w:rsidRPr="008F4B39">
          <w:t>Food Precincts Activities report</w:t>
        </w:r>
      </w:hyperlink>
      <w:r w:rsidR="008F4B39">
        <w:rPr>
          <w:rStyle w:val="FootnoteReference"/>
        </w:rPr>
        <w:footnoteReference w:id="20"/>
      </w:r>
      <w:r w:rsidR="002A7FB1">
        <w:rPr>
          <w:rFonts w:cs="Helvetica"/>
        </w:rPr>
        <w:t xml:space="preserve">, the sector is one of the FWO’s ongoing compliance priority areas. </w:t>
      </w:r>
    </w:p>
    <w:p w14:paraId="69290F52" w14:textId="339D93A2" w:rsidR="007F5284" w:rsidRDefault="00626ADA" w:rsidP="00261EA4">
      <w:pPr>
        <w:rPr>
          <w:rFonts w:cs="Helvetica"/>
        </w:rPr>
      </w:pPr>
      <w:r>
        <w:rPr>
          <w:rFonts w:cs="Helvetica"/>
        </w:rPr>
        <w:t xml:space="preserve">Responding to this finding, </w:t>
      </w:r>
      <w:r w:rsidR="00BD6814">
        <w:rPr>
          <w:rFonts w:cs="Helvetica"/>
        </w:rPr>
        <w:t xml:space="preserve">Fair Work Inspectors </w:t>
      </w:r>
      <w:r w:rsidR="009F761D">
        <w:rPr>
          <w:rFonts w:cs="Helvetica"/>
        </w:rPr>
        <w:t>use</w:t>
      </w:r>
      <w:r w:rsidR="00BD6814">
        <w:rPr>
          <w:rFonts w:cs="Helvetica"/>
        </w:rPr>
        <w:t>d</w:t>
      </w:r>
      <w:r w:rsidR="009F761D">
        <w:rPr>
          <w:rFonts w:cs="Helvetica"/>
        </w:rPr>
        <w:t xml:space="preserve"> compliance and enforcement tools in 86% of all audits in the </w:t>
      </w:r>
      <w:r w:rsidR="002D5153">
        <w:rPr>
          <w:rFonts w:cs="Helvetica"/>
        </w:rPr>
        <w:t xml:space="preserve">Accommodation and Food Services industry </w:t>
      </w:r>
      <w:r w:rsidR="009F761D">
        <w:rPr>
          <w:rFonts w:cs="Helvetica"/>
        </w:rPr>
        <w:t>w</w:t>
      </w:r>
      <w:r>
        <w:rPr>
          <w:rFonts w:cs="Helvetica"/>
        </w:rPr>
        <w:t>h</w:t>
      </w:r>
      <w:r w:rsidR="009F761D">
        <w:rPr>
          <w:rFonts w:cs="Helvetica"/>
        </w:rPr>
        <w:t xml:space="preserve">ere they identified repeat non-compliance. </w:t>
      </w:r>
      <w:r w:rsidR="00CF3FAA">
        <w:rPr>
          <w:rFonts w:cs="Helvetica"/>
        </w:rPr>
        <w:t xml:space="preserve">These </w:t>
      </w:r>
      <w:r>
        <w:rPr>
          <w:rFonts w:cs="Helvetica"/>
        </w:rPr>
        <w:t>actions</w:t>
      </w:r>
      <w:r w:rsidR="00CF3FAA">
        <w:rPr>
          <w:rFonts w:cs="Helvetica"/>
        </w:rPr>
        <w:t xml:space="preserve"> accounted for </w:t>
      </w:r>
      <w:r w:rsidR="002D5153">
        <w:rPr>
          <w:rFonts w:cs="Helvetica"/>
        </w:rPr>
        <w:t xml:space="preserve">32% of </w:t>
      </w:r>
      <w:r w:rsidR="00CF3FAA">
        <w:rPr>
          <w:rFonts w:cs="Helvetica"/>
        </w:rPr>
        <w:t>all co</w:t>
      </w:r>
      <w:r w:rsidR="002D5153">
        <w:rPr>
          <w:rFonts w:cs="Helvetica"/>
        </w:rPr>
        <w:t xml:space="preserve">mpliance and enforcement tools used in the </w:t>
      </w:r>
      <w:r w:rsidR="008F4B39">
        <w:rPr>
          <w:rFonts w:cs="Helvetica"/>
        </w:rPr>
        <w:t>C</w:t>
      </w:r>
      <w:r w:rsidR="002D5153">
        <w:rPr>
          <w:rFonts w:cs="Helvetica"/>
        </w:rPr>
        <w:t>ampaign</w:t>
      </w:r>
      <w:r w:rsidR="008F4B39">
        <w:rPr>
          <w:rFonts w:cs="Helvetica"/>
        </w:rPr>
        <w:t>,</w:t>
      </w:r>
      <w:r w:rsidR="002D5153">
        <w:rPr>
          <w:rFonts w:cs="Helvetica"/>
        </w:rPr>
        <w:t xml:space="preserve"> including</w:t>
      </w:r>
      <w:r w:rsidR="00CF3FAA">
        <w:rPr>
          <w:rFonts w:cs="Helvetica"/>
        </w:rPr>
        <w:t>:</w:t>
      </w:r>
    </w:p>
    <w:p w14:paraId="673DA4A3" w14:textId="4C450C79" w:rsidR="002D5153" w:rsidRPr="00E0513A" w:rsidRDefault="002D5153" w:rsidP="004807A3">
      <w:pPr>
        <w:pStyle w:val="Bullet"/>
        <w:jc w:val="both"/>
      </w:pPr>
      <w:r w:rsidRPr="00E0513A">
        <w:t xml:space="preserve">29 </w:t>
      </w:r>
      <w:r w:rsidR="008F4B39">
        <w:t>F</w:t>
      </w:r>
      <w:r w:rsidR="00605F31">
        <w:t xml:space="preserve">ormal </w:t>
      </w:r>
      <w:r w:rsidR="008F4B39">
        <w:t>C</w:t>
      </w:r>
      <w:r w:rsidR="00605F31">
        <w:t>autions</w:t>
      </w:r>
    </w:p>
    <w:p w14:paraId="42E1F7FA" w14:textId="69514E92" w:rsidR="002D5153" w:rsidRPr="00E0513A" w:rsidRDefault="002D5153" w:rsidP="004807A3">
      <w:pPr>
        <w:pStyle w:val="Bullet"/>
        <w:jc w:val="both"/>
      </w:pPr>
      <w:r w:rsidRPr="00E0513A">
        <w:t xml:space="preserve">15 </w:t>
      </w:r>
      <w:r w:rsidR="008F4B39">
        <w:t>I</w:t>
      </w:r>
      <w:r w:rsidRPr="00E0513A">
        <w:t xml:space="preserve">nfringement </w:t>
      </w:r>
      <w:r w:rsidR="008F4B39">
        <w:t>N</w:t>
      </w:r>
      <w:r w:rsidRPr="00E0513A">
        <w:t>otices</w:t>
      </w:r>
    </w:p>
    <w:p w14:paraId="71F307D6" w14:textId="0B5ACDCB" w:rsidR="002D5153" w:rsidRPr="00E0513A" w:rsidRDefault="002D5153" w:rsidP="004807A3">
      <w:pPr>
        <w:pStyle w:val="Bullet"/>
        <w:jc w:val="both"/>
      </w:pPr>
      <w:r w:rsidRPr="00E0513A">
        <w:t xml:space="preserve">Seven </w:t>
      </w:r>
      <w:r w:rsidR="008F4B39">
        <w:t>C</w:t>
      </w:r>
      <w:r w:rsidRPr="00E0513A">
        <w:t xml:space="preserve">ompliance </w:t>
      </w:r>
      <w:r w:rsidR="008F4B39">
        <w:t>N</w:t>
      </w:r>
      <w:r w:rsidRPr="00E0513A">
        <w:t>otices</w:t>
      </w:r>
    </w:p>
    <w:p w14:paraId="13808AAA" w14:textId="7C3902DD" w:rsidR="002D5153" w:rsidRDefault="00AC6889" w:rsidP="004807A3">
      <w:pPr>
        <w:pStyle w:val="Bullet"/>
        <w:jc w:val="both"/>
      </w:pPr>
      <w:r>
        <w:t>E</w:t>
      </w:r>
      <w:r w:rsidR="002D5153" w:rsidRPr="00E0513A">
        <w:t xml:space="preserve">nforceable </w:t>
      </w:r>
      <w:r>
        <w:t>U</w:t>
      </w:r>
      <w:r w:rsidR="002D5153" w:rsidRPr="00E0513A">
        <w:t>ndertaking with</w:t>
      </w:r>
      <w:r w:rsidR="002D5153" w:rsidRPr="002D5153">
        <w:t xml:space="preserve"> </w:t>
      </w:r>
      <w:r w:rsidR="002D5153" w:rsidRPr="003F6F96">
        <w:t>Xin Long Pty Ltd</w:t>
      </w:r>
      <w:r w:rsidR="002D5153">
        <w:t>.</w:t>
      </w:r>
      <w:r w:rsidR="002D5153" w:rsidRPr="00E0513A">
        <w:t xml:space="preserve"> </w:t>
      </w:r>
    </w:p>
    <w:p w14:paraId="45546137" w14:textId="78706E59" w:rsidR="00626ADA" w:rsidRPr="005F2F7B" w:rsidRDefault="004807A3" w:rsidP="00261EA4">
      <w:pPr>
        <w:rPr>
          <w:rFonts w:cs="Helvetica"/>
        </w:rPr>
      </w:pPr>
      <w:r>
        <w:rPr>
          <w:rFonts w:cs="Helvetica"/>
        </w:rPr>
        <w:t>Similarly, b</w:t>
      </w:r>
      <w:r w:rsidR="00626ADA" w:rsidRPr="005F2F7B">
        <w:rPr>
          <w:rFonts w:cs="Helvetica"/>
        </w:rPr>
        <w:t xml:space="preserve">ased on the sample of audits undertaken during this </w:t>
      </w:r>
      <w:r w:rsidR="00737CD4">
        <w:rPr>
          <w:rFonts w:cs="Helvetica"/>
        </w:rPr>
        <w:t>C</w:t>
      </w:r>
      <w:r w:rsidR="00626ADA" w:rsidRPr="005F2F7B">
        <w:rPr>
          <w:rFonts w:cs="Helvetica"/>
        </w:rPr>
        <w:t xml:space="preserve">ampaign, 44% of employers </w:t>
      </w:r>
      <w:r w:rsidR="00626ADA">
        <w:rPr>
          <w:rFonts w:cs="Helvetica"/>
        </w:rPr>
        <w:t xml:space="preserve">in the </w:t>
      </w:r>
      <w:r w:rsidR="00605F31">
        <w:rPr>
          <w:rFonts w:cs="Helvetica"/>
        </w:rPr>
        <w:t>C</w:t>
      </w:r>
      <w:r w:rsidR="00626ADA">
        <w:rPr>
          <w:rFonts w:cs="Helvetica"/>
        </w:rPr>
        <w:t>onstruction</w:t>
      </w:r>
      <w:r w:rsidR="00605F31">
        <w:rPr>
          <w:rFonts w:cs="Helvetica"/>
        </w:rPr>
        <w:t xml:space="preserve"> industry also failed to achieve and maintain compliance with workplace laws following an </w:t>
      </w:r>
      <w:r w:rsidR="00BD546B">
        <w:rPr>
          <w:rFonts w:cs="Helvetica"/>
        </w:rPr>
        <w:t>e</w:t>
      </w:r>
      <w:r w:rsidR="00605F31">
        <w:rPr>
          <w:rFonts w:cs="Helvetica"/>
        </w:rPr>
        <w:t xml:space="preserve">arlier FWO audit. </w:t>
      </w:r>
      <w:r w:rsidR="00605F31">
        <w:t xml:space="preserve">As a result, around 86% of these employers also received a </w:t>
      </w:r>
      <w:r w:rsidR="008F4B39">
        <w:t>Formal C</w:t>
      </w:r>
      <w:r w:rsidR="00605F31">
        <w:t xml:space="preserve">aution, </w:t>
      </w:r>
      <w:r w:rsidR="008F4B39">
        <w:t>I</w:t>
      </w:r>
      <w:r w:rsidR="00605F31">
        <w:t xml:space="preserve">nfringement, or </w:t>
      </w:r>
      <w:r w:rsidR="008F4B39">
        <w:t>C</w:t>
      </w:r>
      <w:r w:rsidR="00605F31">
        <w:t xml:space="preserve">ompliance </w:t>
      </w:r>
      <w:r w:rsidR="008F4B39">
        <w:t>N</w:t>
      </w:r>
      <w:r w:rsidR="00605F31">
        <w:t>otice.</w:t>
      </w:r>
    </w:p>
    <w:p w14:paraId="5122636E" w14:textId="0F81749E" w:rsidR="00256022" w:rsidRPr="009C5686" w:rsidRDefault="00256022" w:rsidP="00396B4E">
      <w:pPr>
        <w:pStyle w:val="Heading1"/>
      </w:pPr>
      <w:bookmarkStart w:id="91" w:name="_Toc526855144"/>
      <w:bookmarkStart w:id="92" w:name="_Toc527447247"/>
      <w:bookmarkStart w:id="93" w:name="_Toc528058406"/>
      <w:bookmarkStart w:id="94" w:name="_Toc528060232"/>
      <w:bookmarkStart w:id="95" w:name="_Toc529352629"/>
      <w:r w:rsidRPr="009C5686">
        <w:lastRenderedPageBreak/>
        <w:t>Conclusion</w:t>
      </w:r>
      <w:bookmarkEnd w:id="86"/>
      <w:bookmarkEnd w:id="91"/>
      <w:bookmarkEnd w:id="92"/>
      <w:bookmarkEnd w:id="93"/>
      <w:bookmarkEnd w:id="94"/>
      <w:bookmarkEnd w:id="95"/>
    </w:p>
    <w:p w14:paraId="2F4D54BE" w14:textId="32E1210E" w:rsidR="00EF75C6" w:rsidRDefault="008F7815" w:rsidP="00737CD4">
      <w:pPr>
        <w:pStyle w:val="CommentText"/>
        <w:spacing w:before="120" w:after="0"/>
      </w:pPr>
      <w:r>
        <w:t>The FWO assists employers who seek to comply with their statutory obligations by providing</w:t>
      </w:r>
      <w:r w:rsidR="0095115C">
        <w:t xml:space="preserve"> them with</w:t>
      </w:r>
      <w:r w:rsidR="004807A3">
        <w:t xml:space="preserve"> free</w:t>
      </w:r>
      <w:r>
        <w:t xml:space="preserve"> tools and resources </w:t>
      </w:r>
      <w:r w:rsidR="00EF75C6">
        <w:t xml:space="preserve">designed to make </w:t>
      </w:r>
      <w:r>
        <w:t>compliance easier to achieve. Fair Work Inspectors also support employers by providing advice and assistance during proactive compliance and education audits.  However, not all employers are motivated to comply</w:t>
      </w:r>
      <w:r w:rsidR="00327301">
        <w:t xml:space="preserve"> with workplace laws, even when </w:t>
      </w:r>
      <w:r w:rsidR="00325C9E">
        <w:t xml:space="preserve">ongoing </w:t>
      </w:r>
      <w:r w:rsidR="00327301">
        <w:t xml:space="preserve">support is available. </w:t>
      </w:r>
    </w:p>
    <w:p w14:paraId="44B8D870" w14:textId="3A4A705D" w:rsidR="0095115C" w:rsidRDefault="008F7815" w:rsidP="00737CD4">
      <w:pPr>
        <w:pStyle w:val="CommentText"/>
        <w:spacing w:before="120" w:after="0"/>
      </w:pPr>
      <w:r>
        <w:t>As a best practice regulator, the FWO is committed to monitoring employers it identifies at risk of continued non-compliance with their workplace relations obligations. The National Compliance Monitoring pro</w:t>
      </w:r>
      <w:r w:rsidR="00EF75C6">
        <w:t xml:space="preserve">gram </w:t>
      </w:r>
      <w:r w:rsidR="00EF75C6" w:rsidRPr="00EF75C6">
        <w:t xml:space="preserve">provides the FWO with the </w:t>
      </w:r>
      <w:r w:rsidR="00EF75C6" w:rsidRPr="00832C2D">
        <w:t>means</w:t>
      </w:r>
      <w:r w:rsidRPr="00832C2D">
        <w:t xml:space="preserve"> to detec</w:t>
      </w:r>
      <w:r w:rsidR="00EF75C6" w:rsidRPr="00832C2D">
        <w:t xml:space="preserve">t, disrupt and deter persistently </w:t>
      </w:r>
      <w:r w:rsidR="00EF75C6">
        <w:t>unlawful</w:t>
      </w:r>
      <w:r w:rsidR="00EF75C6" w:rsidRPr="00832C2D">
        <w:t xml:space="preserve"> </w:t>
      </w:r>
      <w:r w:rsidR="00EF75C6">
        <w:t xml:space="preserve">workplace practices. </w:t>
      </w:r>
      <w:r w:rsidR="00EF75C6" w:rsidRPr="00832C2D">
        <w:t>It</w:t>
      </w:r>
      <w:r w:rsidR="0095115C" w:rsidRPr="00832C2D">
        <w:t xml:space="preserve"> </w:t>
      </w:r>
      <w:r w:rsidR="00C57016" w:rsidRPr="00832C2D">
        <w:t xml:space="preserve">also </w:t>
      </w:r>
      <w:r w:rsidR="0095115C" w:rsidRPr="00832C2D">
        <w:t xml:space="preserve">ensures there are </w:t>
      </w:r>
      <w:r w:rsidR="0095115C" w:rsidRPr="00832C2D">
        <w:rPr>
          <w:rFonts w:cs="Helvetica"/>
        </w:rPr>
        <w:t xml:space="preserve">tangible consequences </w:t>
      </w:r>
      <w:r w:rsidR="0095115C" w:rsidRPr="00EF75C6">
        <w:rPr>
          <w:rFonts w:cs="Helvetica"/>
        </w:rPr>
        <w:t xml:space="preserve">for </w:t>
      </w:r>
      <w:r w:rsidR="004C4F97">
        <w:rPr>
          <w:rFonts w:cs="Helvetica"/>
        </w:rPr>
        <w:t xml:space="preserve">those </w:t>
      </w:r>
      <w:r w:rsidR="0095115C" w:rsidRPr="00EF75C6">
        <w:rPr>
          <w:rFonts w:cs="Helvetica"/>
        </w:rPr>
        <w:t>employer</w:t>
      </w:r>
      <w:r w:rsidR="00C57016" w:rsidRPr="00832C2D">
        <w:rPr>
          <w:rFonts w:cs="Helvetica"/>
        </w:rPr>
        <w:t>s</w:t>
      </w:r>
      <w:r w:rsidR="0095115C">
        <w:rPr>
          <w:rFonts w:cs="Helvetica"/>
        </w:rPr>
        <w:t xml:space="preserve"> who </w:t>
      </w:r>
      <w:r w:rsidR="00DD49FF">
        <w:rPr>
          <w:rFonts w:cs="Helvetica"/>
        </w:rPr>
        <w:t xml:space="preserve">may </w:t>
      </w:r>
      <w:r w:rsidR="00714CC0">
        <w:rPr>
          <w:rFonts w:cs="Helvetica"/>
        </w:rPr>
        <w:t>only respond to the risk</w:t>
      </w:r>
      <w:r w:rsidR="00EF75C6">
        <w:rPr>
          <w:rFonts w:cs="Helvetica"/>
        </w:rPr>
        <w:t xml:space="preserve"> of </w:t>
      </w:r>
      <w:r w:rsidR="00325C9E">
        <w:rPr>
          <w:rFonts w:cs="Helvetica"/>
        </w:rPr>
        <w:t xml:space="preserve">detection and </w:t>
      </w:r>
      <w:r w:rsidR="00EF75C6">
        <w:rPr>
          <w:rFonts w:cs="Helvetica"/>
        </w:rPr>
        <w:t>sanction, or when</w:t>
      </w:r>
      <w:r w:rsidR="001C3557">
        <w:rPr>
          <w:rFonts w:cs="Helvetica"/>
        </w:rPr>
        <w:t xml:space="preserve"> </w:t>
      </w:r>
      <w:r w:rsidR="00EF75C6">
        <w:rPr>
          <w:rFonts w:cs="Helvetica"/>
        </w:rPr>
        <w:t xml:space="preserve">subject to the use of </w:t>
      </w:r>
      <w:r w:rsidR="00737CD4">
        <w:rPr>
          <w:rFonts w:cs="Helvetica"/>
        </w:rPr>
        <w:t>the</w:t>
      </w:r>
      <w:r w:rsidR="00EF75C6">
        <w:rPr>
          <w:rFonts w:cs="Helvetica"/>
        </w:rPr>
        <w:t xml:space="preserve"> FWO</w:t>
      </w:r>
      <w:r w:rsidR="003514C1">
        <w:rPr>
          <w:rFonts w:cs="Helvetica"/>
        </w:rPr>
        <w:t>’</w:t>
      </w:r>
      <w:r w:rsidR="00EF75C6">
        <w:rPr>
          <w:rFonts w:cs="Helvetica"/>
        </w:rPr>
        <w:t>s compliance and enforcement powers.</w:t>
      </w:r>
    </w:p>
    <w:p w14:paraId="02540B3F" w14:textId="0182B172" w:rsidR="00514B5C" w:rsidRDefault="00514B5C" w:rsidP="00737CD4">
      <w:pPr>
        <w:pStyle w:val="CommentText"/>
        <w:spacing w:before="120" w:after="0"/>
        <w:rPr>
          <w:rFonts w:cs="Helvetica"/>
        </w:rPr>
      </w:pPr>
      <w:r>
        <w:rPr>
          <w:rFonts w:cs="Helvetica"/>
        </w:rPr>
        <w:t xml:space="preserve">The </w:t>
      </w:r>
      <w:r w:rsidR="004C4F97">
        <w:rPr>
          <w:rFonts w:cs="Helvetica"/>
        </w:rPr>
        <w:t xml:space="preserve">FWO has found that </w:t>
      </w:r>
      <w:r w:rsidR="003514C1">
        <w:rPr>
          <w:rFonts w:cs="Helvetica"/>
        </w:rPr>
        <w:t xml:space="preserve">earlier </w:t>
      </w:r>
      <w:r w:rsidR="00E4148D">
        <w:rPr>
          <w:rFonts w:cs="Helvetica"/>
        </w:rPr>
        <w:t xml:space="preserve">audit interventions, coupled with the prospect of ongoing compliance monitoring, have had a positive impact on the majority of </w:t>
      </w:r>
      <w:r w:rsidR="004C4F97">
        <w:rPr>
          <w:rFonts w:cs="Helvetica"/>
        </w:rPr>
        <w:t>employers re-audited in this campaign</w:t>
      </w:r>
      <w:r w:rsidR="00E4148D">
        <w:rPr>
          <w:rFonts w:cs="Helvetica"/>
        </w:rPr>
        <w:t xml:space="preserve">. </w:t>
      </w:r>
      <w:r w:rsidR="00256022" w:rsidRPr="009C5686">
        <w:rPr>
          <w:rFonts w:cs="Helvetica"/>
        </w:rPr>
        <w:t xml:space="preserve">The results </w:t>
      </w:r>
      <w:r w:rsidR="00EF75C6">
        <w:rPr>
          <w:rFonts w:cs="Helvetica"/>
        </w:rPr>
        <w:t>show that</w:t>
      </w:r>
      <w:r w:rsidR="00C73AB1">
        <w:rPr>
          <w:rFonts w:cs="Helvetica"/>
        </w:rPr>
        <w:t xml:space="preserve"> </w:t>
      </w:r>
      <w:r w:rsidR="002577ED">
        <w:rPr>
          <w:rFonts w:cs="Helvetica"/>
        </w:rPr>
        <w:t>62%</w:t>
      </w:r>
      <w:r w:rsidR="00EF75C6">
        <w:rPr>
          <w:rFonts w:cs="Helvetica"/>
        </w:rPr>
        <w:t xml:space="preserve"> of employers previously identified in breach of their </w:t>
      </w:r>
      <w:r w:rsidR="002577ED">
        <w:rPr>
          <w:rFonts w:cs="Helvetica"/>
        </w:rPr>
        <w:t xml:space="preserve">workplace </w:t>
      </w:r>
      <w:r w:rsidR="00EF75C6">
        <w:rPr>
          <w:rFonts w:cs="Helvetica"/>
        </w:rPr>
        <w:t xml:space="preserve">obligations achieved compliance </w:t>
      </w:r>
      <w:r w:rsidR="00F2021C" w:rsidRPr="00832C2D">
        <w:rPr>
          <w:rFonts w:cs="Helvetica"/>
        </w:rPr>
        <w:t>following</w:t>
      </w:r>
      <w:r w:rsidR="004C4F97" w:rsidRPr="00832C2D">
        <w:rPr>
          <w:rFonts w:cs="Helvetica"/>
        </w:rPr>
        <w:t xml:space="preserve"> </w:t>
      </w:r>
      <w:r w:rsidR="006A64AC">
        <w:rPr>
          <w:rFonts w:cs="Helvetica"/>
        </w:rPr>
        <w:t xml:space="preserve">a </w:t>
      </w:r>
      <w:r w:rsidR="004C4F97" w:rsidRPr="00832C2D">
        <w:rPr>
          <w:rFonts w:cs="Helvetica"/>
        </w:rPr>
        <w:t>previous interaction with</w:t>
      </w:r>
      <w:r w:rsidR="006A64AC">
        <w:rPr>
          <w:rFonts w:cs="Helvetica"/>
        </w:rPr>
        <w:t xml:space="preserve"> a</w:t>
      </w:r>
      <w:r w:rsidR="004C4F97" w:rsidRPr="00832C2D">
        <w:rPr>
          <w:rFonts w:cs="Helvetica"/>
        </w:rPr>
        <w:t xml:space="preserve"> Fair Work Inspector</w:t>
      </w:r>
      <w:r w:rsidR="004C4F97">
        <w:rPr>
          <w:rFonts w:cs="Helvetica"/>
        </w:rPr>
        <w:t>.</w:t>
      </w:r>
      <w:r w:rsidR="00327301">
        <w:rPr>
          <w:rFonts w:cs="Helvetica"/>
        </w:rPr>
        <w:t xml:space="preserve"> </w:t>
      </w:r>
    </w:p>
    <w:p w14:paraId="6D401918" w14:textId="77777777" w:rsidR="00DD49FF" w:rsidRDefault="001C3557" w:rsidP="00737CD4">
      <w:pPr>
        <w:pStyle w:val="CommentText"/>
        <w:spacing w:before="120" w:after="0"/>
        <w:rPr>
          <w:rFonts w:cs="Helvetica"/>
        </w:rPr>
      </w:pPr>
      <w:r>
        <w:rPr>
          <w:rFonts w:cs="Helvetica"/>
        </w:rPr>
        <w:t>Around three quarters (</w:t>
      </w:r>
      <w:r w:rsidR="00E4148D">
        <w:rPr>
          <w:rFonts w:cs="Helvetica"/>
        </w:rPr>
        <w:t>76%</w:t>
      </w:r>
      <w:r>
        <w:rPr>
          <w:rFonts w:cs="Helvetica"/>
        </w:rPr>
        <w:t>)</w:t>
      </w:r>
      <w:r w:rsidR="00E4148D">
        <w:rPr>
          <w:rFonts w:cs="Helvetica"/>
        </w:rPr>
        <w:t xml:space="preserve"> of this group achieved compliance </w:t>
      </w:r>
      <w:r w:rsidR="001663F3">
        <w:rPr>
          <w:rFonts w:cs="Helvetica"/>
        </w:rPr>
        <w:t xml:space="preserve">with </w:t>
      </w:r>
      <w:r w:rsidR="00E4148D">
        <w:rPr>
          <w:rFonts w:cs="Helvetica"/>
        </w:rPr>
        <w:t>their monetary obligations, while 79% were fully compliant with their payslip and record-keeping obligations</w:t>
      </w:r>
      <w:r>
        <w:rPr>
          <w:rFonts w:cs="Helvetica"/>
        </w:rPr>
        <w:t xml:space="preserve">. These results are </w:t>
      </w:r>
      <w:r w:rsidR="006A64AC">
        <w:rPr>
          <w:rFonts w:cs="Helvetica"/>
        </w:rPr>
        <w:t xml:space="preserve">also </w:t>
      </w:r>
      <w:r>
        <w:rPr>
          <w:rFonts w:cs="Helvetica"/>
        </w:rPr>
        <w:t xml:space="preserve">comparatively higher than the average compliance rates of all </w:t>
      </w:r>
      <w:r w:rsidR="00F2021C">
        <w:rPr>
          <w:rFonts w:cs="Helvetica"/>
        </w:rPr>
        <w:t xml:space="preserve">other campaign activities </w:t>
      </w:r>
      <w:r>
        <w:rPr>
          <w:rFonts w:cs="Helvetica"/>
        </w:rPr>
        <w:t xml:space="preserve">combined for </w:t>
      </w:r>
      <w:r w:rsidR="00F2021C">
        <w:rPr>
          <w:rFonts w:cs="Helvetica"/>
        </w:rPr>
        <w:t>the corresponding p</w:t>
      </w:r>
      <w:r>
        <w:rPr>
          <w:rFonts w:cs="Helvetica"/>
        </w:rPr>
        <w:t>eriod</w:t>
      </w:r>
      <w:r w:rsidR="00595C6C">
        <w:rPr>
          <w:rFonts w:cs="Helvetica"/>
        </w:rPr>
        <w:t xml:space="preserve">. </w:t>
      </w:r>
    </w:p>
    <w:p w14:paraId="4104828C" w14:textId="77777777" w:rsidR="004807A3" w:rsidRDefault="003664FA" w:rsidP="00737CD4">
      <w:pPr>
        <w:pStyle w:val="CommentText"/>
        <w:spacing w:before="120" w:after="0"/>
        <w:rPr>
          <w:rFonts w:cs="Helvetica"/>
        </w:rPr>
      </w:pPr>
      <w:r>
        <w:rPr>
          <w:rFonts w:cs="Helvetica"/>
        </w:rPr>
        <w:t xml:space="preserve">The FWO </w:t>
      </w:r>
      <w:r w:rsidR="006A64AC">
        <w:rPr>
          <w:rFonts w:cs="Helvetica"/>
        </w:rPr>
        <w:t xml:space="preserve">also </w:t>
      </w:r>
      <w:r>
        <w:rPr>
          <w:rFonts w:cs="Helvetica"/>
        </w:rPr>
        <w:t xml:space="preserve">identified that 38% of </w:t>
      </w:r>
      <w:r w:rsidR="00D63411">
        <w:rPr>
          <w:rFonts w:cs="Helvetica"/>
        </w:rPr>
        <w:t xml:space="preserve">employers </w:t>
      </w:r>
      <w:r>
        <w:rPr>
          <w:rFonts w:cs="Helvetica"/>
        </w:rPr>
        <w:t xml:space="preserve">re-audited </w:t>
      </w:r>
      <w:r w:rsidR="009A2BC3">
        <w:rPr>
          <w:rFonts w:cs="Helvetica"/>
        </w:rPr>
        <w:t xml:space="preserve">in this Campaign </w:t>
      </w:r>
      <w:r w:rsidR="00514B5C">
        <w:rPr>
          <w:rFonts w:cs="Helvetica"/>
        </w:rPr>
        <w:t>were</w:t>
      </w:r>
      <w:r w:rsidR="00D63411">
        <w:rPr>
          <w:rFonts w:cs="Helvetica"/>
        </w:rPr>
        <w:t xml:space="preserve"> in</w:t>
      </w:r>
      <w:r>
        <w:rPr>
          <w:rFonts w:cs="Helvetica"/>
        </w:rPr>
        <w:t xml:space="preserve"> breach </w:t>
      </w:r>
      <w:r w:rsidR="00D63411">
        <w:rPr>
          <w:rFonts w:cs="Helvetica"/>
        </w:rPr>
        <w:t xml:space="preserve">of </w:t>
      </w:r>
      <w:r w:rsidR="00A656F2">
        <w:rPr>
          <w:rFonts w:cs="Helvetica"/>
        </w:rPr>
        <w:t>workplace laws</w:t>
      </w:r>
      <w:r w:rsidR="00514B5C">
        <w:rPr>
          <w:rFonts w:cs="Helvetica"/>
        </w:rPr>
        <w:t>.</w:t>
      </w:r>
      <w:r w:rsidR="00A656F2">
        <w:rPr>
          <w:rFonts w:cs="Helvetica"/>
        </w:rPr>
        <w:t xml:space="preserve"> </w:t>
      </w:r>
    </w:p>
    <w:p w14:paraId="4F0FAA2D" w14:textId="4A0F613D" w:rsidR="00AD0458" w:rsidRDefault="004807A3" w:rsidP="00737CD4">
      <w:pPr>
        <w:spacing w:before="120"/>
        <w:textAlignment w:val="center"/>
        <w:rPr>
          <w:rFonts w:cs="Helvetica"/>
        </w:rPr>
      </w:pPr>
      <w:r>
        <w:rPr>
          <w:rFonts w:cs="Helvetica"/>
          <w:szCs w:val="22"/>
        </w:rPr>
        <w:t>Setting aside the case of Chemist Warehouse,</w:t>
      </w:r>
      <w:r w:rsidR="00603858">
        <w:rPr>
          <w:rFonts w:cs="Helvetica"/>
          <w:szCs w:val="22"/>
        </w:rPr>
        <w:t xml:space="preserve"> </w:t>
      </w:r>
      <w:r w:rsidR="00603858">
        <w:t>the Campaign</w:t>
      </w:r>
      <w:r>
        <w:rPr>
          <w:rFonts w:cs="Helvetica"/>
          <w:szCs w:val="22"/>
        </w:rPr>
        <w:t xml:space="preserve"> </w:t>
      </w:r>
      <w:r w:rsidR="00603858">
        <w:rPr>
          <w:rFonts w:cs="Helvetica"/>
          <w:szCs w:val="22"/>
        </w:rPr>
        <w:t xml:space="preserve">recovered </w:t>
      </w:r>
      <w:r w:rsidR="00603858" w:rsidRPr="004C3A2B">
        <w:t>$</w:t>
      </w:r>
      <w:r w:rsidR="00603858">
        <w:t>244 246</w:t>
      </w:r>
      <w:r w:rsidR="00603858" w:rsidRPr="004C3A2B">
        <w:t xml:space="preserve"> from</w:t>
      </w:r>
      <w:r w:rsidR="00603858">
        <w:t xml:space="preserve"> </w:t>
      </w:r>
      <w:r w:rsidR="00603858" w:rsidRPr="004C3A2B">
        <w:t>9</w:t>
      </w:r>
      <w:r w:rsidR="00603858">
        <w:t>8</w:t>
      </w:r>
      <w:r w:rsidR="00603858" w:rsidRPr="004C3A2B">
        <w:t xml:space="preserve"> employers for 34</w:t>
      </w:r>
      <w:r w:rsidR="00603858">
        <w:t>7</w:t>
      </w:r>
      <w:r w:rsidR="00603858" w:rsidRPr="004C3A2B">
        <w:t xml:space="preserve"> wo</w:t>
      </w:r>
      <w:r w:rsidR="00603858" w:rsidRPr="00420B7A">
        <w:t>rkers</w:t>
      </w:r>
      <w:r w:rsidRPr="00DC7463">
        <w:t>.</w:t>
      </w:r>
      <w:r w:rsidRPr="00420B7A">
        <w:t xml:space="preserve"> </w:t>
      </w:r>
      <w:r w:rsidR="00742CE0" w:rsidRPr="00420B7A">
        <w:rPr>
          <w:rFonts w:cs="Helvetica"/>
        </w:rPr>
        <w:t>Where</w:t>
      </w:r>
      <w:r w:rsidR="00415E7E" w:rsidRPr="00420B7A">
        <w:rPr>
          <w:rFonts w:cs="Helvetica"/>
        </w:rPr>
        <w:t>ver</w:t>
      </w:r>
      <w:r w:rsidR="00415E7E">
        <w:rPr>
          <w:rFonts w:cs="Helvetica"/>
        </w:rPr>
        <w:t xml:space="preserve"> </w:t>
      </w:r>
      <w:r w:rsidR="005305A4">
        <w:rPr>
          <w:rFonts w:cs="Helvetica"/>
        </w:rPr>
        <w:t>a patt</w:t>
      </w:r>
      <w:r w:rsidR="00742CE0">
        <w:rPr>
          <w:rFonts w:cs="Helvetica"/>
        </w:rPr>
        <w:t>ern of</w:t>
      </w:r>
      <w:r w:rsidR="00415E7E">
        <w:rPr>
          <w:rFonts w:cs="Helvetica"/>
        </w:rPr>
        <w:t xml:space="preserve"> non-compliance</w:t>
      </w:r>
      <w:r w:rsidR="005305A4">
        <w:rPr>
          <w:rFonts w:cs="Helvetica"/>
        </w:rPr>
        <w:t xml:space="preserve"> was detected</w:t>
      </w:r>
      <w:r w:rsidR="00742CE0">
        <w:rPr>
          <w:rFonts w:cs="Helvetica"/>
        </w:rPr>
        <w:t xml:space="preserve"> </w:t>
      </w:r>
      <w:r w:rsidR="00737CD4">
        <w:rPr>
          <w:rFonts w:cs="Helvetica"/>
        </w:rPr>
        <w:t xml:space="preserve">the </w:t>
      </w:r>
      <w:r w:rsidR="00742CE0">
        <w:rPr>
          <w:rFonts w:cs="Helvetica"/>
        </w:rPr>
        <w:t>FWO</w:t>
      </w:r>
      <w:r w:rsidR="00415E7E">
        <w:rPr>
          <w:rFonts w:cs="Helvetica"/>
        </w:rPr>
        <w:t xml:space="preserve"> </w:t>
      </w:r>
      <w:r w:rsidR="00742CE0">
        <w:rPr>
          <w:rFonts w:cs="Helvetica"/>
        </w:rPr>
        <w:t xml:space="preserve">responded </w:t>
      </w:r>
      <w:r w:rsidR="00415E7E">
        <w:rPr>
          <w:rFonts w:cs="Helvetica"/>
        </w:rPr>
        <w:t xml:space="preserve">with an appropriate compliance </w:t>
      </w:r>
      <w:r w:rsidR="00742CE0">
        <w:rPr>
          <w:rFonts w:cs="Helvetica"/>
        </w:rPr>
        <w:t>or</w:t>
      </w:r>
      <w:r w:rsidR="00415E7E">
        <w:rPr>
          <w:rFonts w:cs="Helvetica"/>
        </w:rPr>
        <w:t xml:space="preserve"> enforcement tool</w:t>
      </w:r>
      <w:r w:rsidR="00742CE0">
        <w:rPr>
          <w:rFonts w:cs="Helvetica"/>
        </w:rPr>
        <w:t xml:space="preserve">.  Where the FWO identified unlawful conduct that was particularly serious, wilful or significant in its impact on vulnerable workers, it used its strongest </w:t>
      </w:r>
      <w:r w:rsidR="002B6D0E">
        <w:rPr>
          <w:rFonts w:cs="Helvetica"/>
        </w:rPr>
        <w:t>enforcement powers.</w:t>
      </w:r>
    </w:p>
    <w:p w14:paraId="270065E1" w14:textId="406A5AA6" w:rsidR="00AD0458" w:rsidRDefault="00366EBF" w:rsidP="00737CD4">
      <w:pPr>
        <w:pStyle w:val="CommentText"/>
        <w:spacing w:before="120" w:after="0"/>
        <w:rPr>
          <w:rFonts w:cs="Helvetica"/>
        </w:rPr>
      </w:pPr>
      <w:r>
        <w:rPr>
          <w:rFonts w:cs="Helvetica"/>
        </w:rPr>
        <w:t>The FWO will continue to focus on high-risk employers operating in these sectors, and engage with key industry stakeholders to assist them in targeting repeat non-compliance in the</w:t>
      </w:r>
      <w:r w:rsidR="00CC02E5">
        <w:rPr>
          <w:rFonts w:cs="Helvetica"/>
        </w:rPr>
        <w:t>ir</w:t>
      </w:r>
      <w:r>
        <w:rPr>
          <w:rFonts w:cs="Helvetica"/>
        </w:rPr>
        <w:t xml:space="preserve"> membership network.</w:t>
      </w:r>
    </w:p>
    <w:p w14:paraId="555120EF" w14:textId="7A712CF5" w:rsidR="001663F3" w:rsidRDefault="00366EBF" w:rsidP="00737CD4">
      <w:pPr>
        <w:pStyle w:val="CommentText"/>
        <w:spacing w:before="120" w:after="0"/>
        <w:rPr>
          <w:rFonts w:cs="Helvetica"/>
        </w:rPr>
      </w:pPr>
      <w:r>
        <w:rPr>
          <w:rFonts w:cs="Helvetica"/>
        </w:rPr>
        <w:t xml:space="preserve">The National Compliance Monitoring program </w:t>
      </w:r>
      <w:r w:rsidR="00D95E92">
        <w:rPr>
          <w:rFonts w:cs="Helvetica"/>
        </w:rPr>
        <w:t>reinforces</w:t>
      </w:r>
      <w:r w:rsidR="00256022" w:rsidRPr="00832C2D">
        <w:rPr>
          <w:rFonts w:cs="Helvetica"/>
        </w:rPr>
        <w:t xml:space="preserve"> the need for</w:t>
      </w:r>
      <w:r w:rsidR="00D95E92">
        <w:rPr>
          <w:rFonts w:cs="Helvetica"/>
        </w:rPr>
        <w:t xml:space="preserve"> the FWO to adopt</w:t>
      </w:r>
      <w:r w:rsidR="00256022" w:rsidRPr="00832C2D">
        <w:rPr>
          <w:rFonts w:cs="Helvetica"/>
        </w:rPr>
        <w:t xml:space="preserve"> a multi-faceted approach to workplace-relations regulation</w:t>
      </w:r>
      <w:r w:rsidR="00D95E92">
        <w:rPr>
          <w:rFonts w:cs="Helvetica"/>
        </w:rPr>
        <w:t xml:space="preserve">, drawing upon </w:t>
      </w:r>
      <w:r w:rsidR="00256022" w:rsidRPr="00832C2D">
        <w:rPr>
          <w:rFonts w:cs="Helvetica"/>
        </w:rPr>
        <w:t xml:space="preserve">both educative and enforcement </w:t>
      </w:r>
      <w:r w:rsidR="00AD0458">
        <w:rPr>
          <w:rFonts w:cs="Helvetica"/>
        </w:rPr>
        <w:t>activities</w:t>
      </w:r>
      <w:r w:rsidR="002B6D0E" w:rsidRPr="00832C2D">
        <w:rPr>
          <w:rFonts w:cs="Helvetica"/>
        </w:rPr>
        <w:t xml:space="preserve"> </w:t>
      </w:r>
      <w:r w:rsidR="00256022" w:rsidRPr="00832C2D">
        <w:rPr>
          <w:rFonts w:cs="Helvetica"/>
        </w:rPr>
        <w:t>to drive long-term behavioural change in Australian workplaces</w:t>
      </w:r>
      <w:r w:rsidR="00846CAD">
        <w:rPr>
          <w:rFonts w:cs="Helvetica"/>
        </w:rPr>
        <w:t xml:space="preserve">. </w:t>
      </w:r>
      <w:r w:rsidR="00D95E92">
        <w:rPr>
          <w:rFonts w:cs="Helvetica"/>
        </w:rPr>
        <w:t>To that end, the FWO</w:t>
      </w:r>
      <w:r w:rsidR="00CC02E5">
        <w:rPr>
          <w:rFonts w:cs="Helvetica"/>
        </w:rPr>
        <w:t xml:space="preserve"> has recently commenced a third National Compliance Monitoring </w:t>
      </w:r>
      <w:r w:rsidR="00D95E92">
        <w:rPr>
          <w:rFonts w:cs="Helvetica"/>
        </w:rPr>
        <w:t>Campaign</w:t>
      </w:r>
      <w:r w:rsidR="00CC02E5">
        <w:rPr>
          <w:rFonts w:cs="Helvetica"/>
        </w:rPr>
        <w:t>.</w:t>
      </w:r>
    </w:p>
    <w:p w14:paraId="77B55E2B" w14:textId="62D18268" w:rsidR="00256022" w:rsidRPr="001E6ED3" w:rsidRDefault="003E31DE" w:rsidP="00396B4E">
      <w:pPr>
        <w:pStyle w:val="Heading1"/>
      </w:pPr>
      <w:bookmarkStart w:id="96" w:name="_Toc520457110"/>
      <w:bookmarkStart w:id="97" w:name="_Toc526855145"/>
      <w:bookmarkStart w:id="98" w:name="_Toc527447248"/>
      <w:bookmarkStart w:id="99" w:name="_Toc528058407"/>
      <w:bookmarkStart w:id="100" w:name="_Toc528060233"/>
      <w:bookmarkStart w:id="101" w:name="_Toc529352630"/>
      <w:r>
        <w:lastRenderedPageBreak/>
        <w:t>A</w:t>
      </w:r>
      <w:r w:rsidR="00256022" w:rsidRPr="001E6ED3">
        <w:t>bout the Fair Work Ombudsman</w:t>
      </w:r>
      <w:bookmarkEnd w:id="96"/>
      <w:bookmarkEnd w:id="97"/>
      <w:bookmarkEnd w:id="98"/>
      <w:bookmarkEnd w:id="99"/>
      <w:bookmarkEnd w:id="100"/>
      <w:bookmarkEnd w:id="101"/>
    </w:p>
    <w:p w14:paraId="03EA7D74" w14:textId="77777777" w:rsidR="00256022" w:rsidRPr="001E6ED3" w:rsidRDefault="00256022" w:rsidP="00256022">
      <w:pPr>
        <w:rPr>
          <w:rFonts w:cs="Helvetica"/>
          <w:lang w:eastAsia="en-AU"/>
        </w:rPr>
      </w:pPr>
      <w:r w:rsidRPr="001E6ED3">
        <w:rPr>
          <w:rFonts w:cs="Helvetica"/>
          <w:lang w:eastAsia="en-AU"/>
        </w:rPr>
        <w:t xml:space="preserve">The Fair Work Ombudsman (FWO) is an independent agency created by the </w:t>
      </w:r>
      <w:r w:rsidRPr="001E6ED3">
        <w:rPr>
          <w:rFonts w:cs="Helvetica"/>
          <w:i/>
          <w:lang w:eastAsia="en-AU"/>
        </w:rPr>
        <w:t>Fair Work Act 2009</w:t>
      </w:r>
      <w:r w:rsidRPr="001E6ED3">
        <w:rPr>
          <w:rFonts w:cs="Helvetica"/>
          <w:lang w:eastAsia="en-AU"/>
        </w:rPr>
        <w:t xml:space="preserve"> on 1 July 2009. Our main role is to promote harmonious, productive and cooperative workplace relations.</w:t>
      </w:r>
    </w:p>
    <w:p w14:paraId="55DB78EC" w14:textId="3C92E7E2" w:rsidR="00256022" w:rsidRPr="009C5686" w:rsidRDefault="00256022" w:rsidP="00256022">
      <w:pPr>
        <w:rPr>
          <w:rFonts w:cs="Helvetica"/>
          <w:lang w:eastAsia="en-AU"/>
        </w:rPr>
      </w:pPr>
      <w:r w:rsidRPr="001E6ED3">
        <w:rPr>
          <w:rFonts w:cs="Helvetica"/>
          <w:lang w:eastAsia="en-AU"/>
        </w:rPr>
        <w:t xml:space="preserve">The FWO has a range of resources and publications for employers and employees on our website at </w:t>
      </w:r>
      <w:hyperlink r:id="rId12" w:tooltip="Fair Work Ombudsman website" w:history="1">
        <w:r w:rsidRPr="008F4B39">
          <w:rPr>
            <w:rStyle w:val="Hyperlink"/>
            <w:rFonts w:asciiTheme="minorHAnsi" w:eastAsiaTheme="minorEastAsia" w:hAnsiTheme="minorHAnsi" w:cstheme="minorHAnsi"/>
            <w:lang w:eastAsia="en-AU"/>
          </w:rPr>
          <w:t>www.fairwork.gov.au</w:t>
        </w:r>
      </w:hyperlink>
      <w:r w:rsidRPr="009C5686">
        <w:rPr>
          <w:rFonts w:cs="Helvetica"/>
          <w:lang w:eastAsia="en-AU"/>
        </w:rPr>
        <w:t xml:space="preserve">, including our </w:t>
      </w:r>
      <w:hyperlink r:id="rId13" w:history="1">
        <w:r w:rsidRPr="008F4B39">
          <w:rPr>
            <w:rStyle w:val="Hyperlink"/>
            <w:rFonts w:asciiTheme="minorHAnsi" w:eastAsiaTheme="minorEastAsia" w:hAnsiTheme="minorHAnsi" w:cstheme="minorHAnsi"/>
            <w:lang w:eastAsia="en-AU"/>
          </w:rPr>
          <w:t>Strategic Intent</w:t>
        </w:r>
      </w:hyperlink>
      <w:r w:rsidRPr="009C5686">
        <w:rPr>
          <w:rFonts w:cs="Helvetica"/>
          <w:lang w:eastAsia="en-AU"/>
        </w:rPr>
        <w:t xml:space="preserve"> and </w:t>
      </w:r>
      <w:hyperlink r:id="rId14" w:history="1">
        <w:r w:rsidRPr="008F4B39">
          <w:rPr>
            <w:rStyle w:val="Hyperlink"/>
            <w:rFonts w:asciiTheme="minorHAnsi" w:eastAsiaTheme="minorEastAsia" w:hAnsiTheme="minorHAnsi" w:cstheme="minorHAnsi"/>
            <w:lang w:eastAsia="en-AU"/>
          </w:rPr>
          <w:t>Compliance and Enforcement Policy</w:t>
        </w:r>
      </w:hyperlink>
      <w:r w:rsidRPr="009C5686">
        <w:rPr>
          <w:rFonts w:cs="Helvetica"/>
          <w:lang w:eastAsia="en-AU"/>
        </w:rPr>
        <w:t xml:space="preserve"> which explains how we approach fulfilling our role.</w:t>
      </w:r>
    </w:p>
    <w:p w14:paraId="5FBACEE6" w14:textId="77777777" w:rsidR="00256022" w:rsidRPr="001E6ED3" w:rsidRDefault="00256022" w:rsidP="00256022">
      <w:pPr>
        <w:rPr>
          <w:rFonts w:cs="Helvetica"/>
        </w:rPr>
      </w:pPr>
      <w:r w:rsidRPr="00BD4635">
        <w:rPr>
          <w:rFonts w:eastAsia="Calibri" w:cs="Helvetica"/>
          <w:szCs w:val="22"/>
        </w:rPr>
        <w:t xml:space="preserve">Each year </w:t>
      </w:r>
      <w:r>
        <w:rPr>
          <w:rFonts w:eastAsia="Calibri" w:cs="Helvetica"/>
          <w:szCs w:val="22"/>
        </w:rPr>
        <w:t>we</w:t>
      </w:r>
      <w:r w:rsidRPr="00BD4635">
        <w:rPr>
          <w:rFonts w:eastAsia="Calibri" w:cs="Helvetica"/>
          <w:szCs w:val="22"/>
        </w:rPr>
        <w:t xml:space="preserve"> run proactive campaigns to assist employers and emplo</w:t>
      </w:r>
      <w:r w:rsidRPr="001E6ED3">
        <w:rPr>
          <w:rFonts w:eastAsia="Calibri" w:cs="Helvetica"/>
          <w:szCs w:val="22"/>
        </w:rPr>
        <w:t xml:space="preserve">yees understand their rights and obligations under Commonwealth workplace relations laws.  </w:t>
      </w:r>
      <w:r>
        <w:rPr>
          <w:rFonts w:cs="Helvetica"/>
        </w:rPr>
        <w:t>Our</w:t>
      </w:r>
      <w:r w:rsidRPr="001E6ED3">
        <w:rPr>
          <w:rFonts w:cs="Helvetica"/>
        </w:rPr>
        <w:t xml:space="preserve"> campaigns focus on particular industries, regions and/or labour market issues</w:t>
      </w:r>
      <w:r>
        <w:rPr>
          <w:rFonts w:cs="Helvetica"/>
        </w:rPr>
        <w:t xml:space="preserve">, </w:t>
      </w:r>
      <w:r w:rsidRPr="001E6ED3">
        <w:rPr>
          <w:rFonts w:cs="Helvetica"/>
        </w:rPr>
        <w:t xml:space="preserve">and </w:t>
      </w:r>
      <w:r>
        <w:rPr>
          <w:rFonts w:cs="Helvetica"/>
        </w:rPr>
        <w:t xml:space="preserve">we </w:t>
      </w:r>
      <w:r w:rsidRPr="001E6ED3">
        <w:rPr>
          <w:rFonts w:cs="Helvetica"/>
        </w:rPr>
        <w:t>conduct</w:t>
      </w:r>
      <w:r>
        <w:rPr>
          <w:rFonts w:cs="Helvetica"/>
        </w:rPr>
        <w:t xml:space="preserve"> them </w:t>
      </w:r>
      <w:r w:rsidRPr="001E6ED3">
        <w:rPr>
          <w:rFonts w:cs="Helvetica"/>
        </w:rPr>
        <w:t xml:space="preserve">on </w:t>
      </w:r>
      <w:r>
        <w:rPr>
          <w:rFonts w:cs="Helvetica"/>
        </w:rPr>
        <w:t xml:space="preserve">a </w:t>
      </w:r>
      <w:r w:rsidRPr="001E6ED3">
        <w:rPr>
          <w:rFonts w:cs="Helvetica"/>
        </w:rPr>
        <w:t>national or regional level.</w:t>
      </w:r>
    </w:p>
    <w:p w14:paraId="1CA02D3E" w14:textId="77777777" w:rsidR="00256022" w:rsidRPr="009C5686" w:rsidRDefault="00256022" w:rsidP="00256022">
      <w:pPr>
        <w:rPr>
          <w:rFonts w:cs="Helvetica"/>
          <w:lang w:eastAsia="en-AU"/>
        </w:rPr>
      </w:pPr>
      <w:r w:rsidRPr="001E6ED3">
        <w:rPr>
          <w:rFonts w:cs="Helvetica"/>
          <w:lang w:eastAsia="en-AU"/>
        </w:rPr>
        <w:t xml:space="preserve">For further information about this campaign, </w:t>
      </w:r>
      <w:r>
        <w:rPr>
          <w:rFonts w:cs="Helvetica"/>
          <w:lang w:eastAsia="en-AU"/>
        </w:rPr>
        <w:t xml:space="preserve">please </w:t>
      </w:r>
      <w:r w:rsidRPr="001E6ED3">
        <w:rPr>
          <w:rFonts w:cs="Helvetica"/>
          <w:lang w:eastAsia="en-AU"/>
        </w:rPr>
        <w:t xml:space="preserve">contact </w:t>
      </w:r>
      <w:r>
        <w:rPr>
          <w:rFonts w:cs="Helvetica"/>
          <w:lang w:eastAsia="en-AU"/>
        </w:rPr>
        <w:t>Nicky Chaffer</w:t>
      </w:r>
      <w:r w:rsidRPr="001E6ED3">
        <w:rPr>
          <w:rFonts w:cs="Helvetica"/>
          <w:lang w:eastAsia="en-AU"/>
        </w:rPr>
        <w:t>, Executive Director</w:t>
      </w:r>
      <w:r>
        <w:rPr>
          <w:rFonts w:cs="Helvetica"/>
          <w:lang w:eastAsia="en-AU"/>
        </w:rPr>
        <w:t>,</w:t>
      </w:r>
      <w:r w:rsidRPr="001E6ED3">
        <w:rPr>
          <w:rFonts w:cs="Helvetica"/>
          <w:lang w:eastAsia="en-AU"/>
        </w:rPr>
        <w:t xml:space="preserve"> </w:t>
      </w:r>
      <w:r>
        <w:rPr>
          <w:rFonts w:cs="Helvetica"/>
          <w:lang w:eastAsia="en-AU"/>
        </w:rPr>
        <w:t>Proactive C</w:t>
      </w:r>
      <w:r w:rsidRPr="001E6ED3">
        <w:rPr>
          <w:rFonts w:cs="Helvetica"/>
          <w:lang w:eastAsia="en-AU"/>
        </w:rPr>
        <w:t>ompliance and E</w:t>
      </w:r>
      <w:r>
        <w:rPr>
          <w:rFonts w:cs="Helvetica"/>
          <w:lang w:eastAsia="en-AU"/>
        </w:rPr>
        <w:t>ducation</w:t>
      </w:r>
      <w:r w:rsidRPr="001E6ED3">
        <w:rPr>
          <w:rFonts w:cs="Helvetica"/>
          <w:lang w:eastAsia="en-AU"/>
        </w:rPr>
        <w:t xml:space="preserve">, at </w:t>
      </w:r>
      <w:hyperlink r:id="rId15" w:history="1">
        <w:r w:rsidRPr="00E92017">
          <w:rPr>
            <w:rStyle w:val="Hyperlink"/>
            <w:rFonts w:asciiTheme="minorHAnsi" w:eastAsiaTheme="minorEastAsia" w:hAnsiTheme="minorHAnsi" w:cstheme="minorHAnsi"/>
            <w:lang w:eastAsia="en-AU"/>
          </w:rPr>
          <w:t>Nicky.Chaffer@fwo.gov.au</w:t>
        </w:r>
      </w:hyperlink>
      <w:r w:rsidRPr="00E92017">
        <w:rPr>
          <w:rFonts w:cstheme="minorHAnsi"/>
          <w:lang w:eastAsia="en-AU"/>
        </w:rPr>
        <w:t>.</w:t>
      </w:r>
    </w:p>
    <w:p w14:paraId="47F45547" w14:textId="7DB0C3F8" w:rsidR="00C50C79" w:rsidRPr="003D186F" w:rsidRDefault="00256022" w:rsidP="00E92017">
      <w:r w:rsidRPr="009C5686">
        <w:rPr>
          <w:lang w:eastAsia="en-AU"/>
        </w:rPr>
        <w:t xml:space="preserve">For media enquiries please contact the media team at </w:t>
      </w:r>
      <w:hyperlink r:id="rId16" w:history="1">
        <w:r w:rsidRPr="00E92017">
          <w:rPr>
            <w:rStyle w:val="Hyperlink"/>
            <w:rFonts w:asciiTheme="minorHAnsi" w:eastAsiaTheme="minorEastAsia" w:hAnsiTheme="minorHAnsi" w:cstheme="minorHAnsi"/>
            <w:lang w:eastAsia="en-AU"/>
          </w:rPr>
          <w:t>media@fwo.gov.au</w:t>
        </w:r>
      </w:hyperlink>
      <w:r w:rsidR="006A1F46">
        <w:rPr>
          <w:rStyle w:val="Hyperlink"/>
          <w:rFonts w:asciiTheme="minorHAnsi" w:eastAsiaTheme="minorEastAsia" w:hAnsiTheme="minorHAnsi" w:cstheme="minorHAnsi"/>
          <w:color w:val="auto"/>
          <w:u w:val="none"/>
          <w:lang w:eastAsia="en-AU"/>
        </w:rPr>
        <w:t>.</w:t>
      </w:r>
    </w:p>
    <w:sectPr w:rsidR="00C50C79" w:rsidRPr="003D186F" w:rsidSect="00D470A4">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993" w:right="992" w:bottom="284" w:left="1276"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79A3D" w14:textId="77777777" w:rsidR="00F6448D" w:rsidRDefault="00F6448D" w:rsidP="00AB27F9">
      <w:r>
        <w:separator/>
      </w:r>
    </w:p>
  </w:endnote>
  <w:endnote w:type="continuationSeparator" w:id="0">
    <w:p w14:paraId="7D679A18" w14:textId="77777777" w:rsidR="00F6448D" w:rsidRDefault="00F6448D" w:rsidP="00AB27F9">
      <w:r>
        <w:continuationSeparator/>
      </w:r>
    </w:p>
  </w:endnote>
  <w:endnote w:type="continuationNotice" w:id="1">
    <w:p w14:paraId="407DC9B9" w14:textId="77777777" w:rsidR="00F6448D" w:rsidRDefault="00F64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air Work">
    <w:altName w:val="Times New Roman"/>
    <w:panose1 w:val="00000000000000000000"/>
    <w:charset w:val="00"/>
    <w:family w:val="roman"/>
    <w:notTrueType/>
    <w:pitch w:val="variable"/>
    <w:sig w:usb0="00000083" w:usb1="5000204A" w:usb2="00000000" w:usb3="00000000" w:csb0="00000009" w:csb1="00000000"/>
  </w:font>
  <w:font w:name="LiberationSans-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C899" w14:textId="77777777" w:rsidR="00F6448D" w:rsidRDefault="00F6448D" w:rsidP="00AB27F9">
    <w:r>
      <w:fldChar w:fldCharType="begin"/>
    </w:r>
    <w:r>
      <w:instrText xml:space="preserve">PAGE  </w:instrText>
    </w:r>
    <w:r>
      <w:fldChar w:fldCharType="separate"/>
    </w:r>
    <w:r>
      <w:rPr>
        <w:noProof/>
      </w:rPr>
      <w:t>2</w:t>
    </w:r>
    <w:r>
      <w:fldChar w:fldCharType="end"/>
    </w:r>
  </w:p>
  <w:p w14:paraId="2FA4847A" w14:textId="77777777" w:rsidR="00F6448D" w:rsidRDefault="00F6448D" w:rsidP="00AB27F9"/>
  <w:p w14:paraId="557B0F91" w14:textId="77777777" w:rsidR="00F6448D" w:rsidRDefault="00F6448D"/>
  <w:p w14:paraId="6D10FFF2" w14:textId="77777777" w:rsidR="00F6448D" w:rsidRDefault="00F6448D"/>
  <w:p w14:paraId="4037D1B0" w14:textId="77777777" w:rsidR="00F6448D" w:rsidRDefault="00F6448D"/>
  <w:p w14:paraId="387420A2" w14:textId="77777777" w:rsidR="00F6448D" w:rsidRDefault="00F6448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2FF15" w14:textId="4CBC4BE0" w:rsidR="00F6448D" w:rsidRPr="00586BE4" w:rsidRDefault="00F6448D">
    <w:pPr>
      <w:pStyle w:val="Footer"/>
      <w:rPr>
        <w:color w:val="808080" w:themeColor="background1" w:themeShade="80"/>
      </w:rPr>
    </w:pPr>
    <w:r>
      <w:tab/>
    </w:r>
    <w:r>
      <w:tab/>
    </w:r>
    <w:sdt>
      <w:sdtPr>
        <w:rPr>
          <w:color w:val="808080" w:themeColor="background1" w:themeShade="80"/>
        </w:rPr>
        <w:id w:val="-2012202902"/>
        <w:docPartObj>
          <w:docPartGallery w:val="Page Numbers (Bottom of Page)"/>
          <w:docPartUnique/>
        </w:docPartObj>
      </w:sdtPr>
      <w:sdtEndPr/>
      <w:sdtContent>
        <w:sdt>
          <w:sdtPr>
            <w:rPr>
              <w:color w:val="808080" w:themeColor="background1" w:themeShade="80"/>
            </w:rPr>
            <w:id w:val="-1684822519"/>
            <w:docPartObj>
              <w:docPartGallery w:val="Page Numbers (Top of Page)"/>
              <w:docPartUnique/>
            </w:docPartObj>
          </w:sdtPr>
          <w:sdtEndPr/>
          <w:sdtContent>
            <w:r w:rsidRPr="00586BE4">
              <w:rPr>
                <w:color w:val="808080" w:themeColor="background1" w:themeShade="80"/>
              </w:rPr>
              <w:t xml:space="preserve">Page </w:t>
            </w:r>
            <w:r w:rsidRPr="00586BE4">
              <w:rPr>
                <w:b/>
                <w:bCs/>
                <w:color w:val="808080" w:themeColor="background1" w:themeShade="80"/>
                <w:sz w:val="24"/>
              </w:rPr>
              <w:fldChar w:fldCharType="begin"/>
            </w:r>
            <w:r w:rsidRPr="00586BE4">
              <w:rPr>
                <w:b/>
                <w:bCs/>
                <w:color w:val="808080" w:themeColor="background1" w:themeShade="80"/>
              </w:rPr>
              <w:instrText xml:space="preserve"> PAGE </w:instrText>
            </w:r>
            <w:r w:rsidRPr="00586BE4">
              <w:rPr>
                <w:b/>
                <w:bCs/>
                <w:color w:val="808080" w:themeColor="background1" w:themeShade="80"/>
                <w:sz w:val="24"/>
              </w:rPr>
              <w:fldChar w:fldCharType="separate"/>
            </w:r>
            <w:r w:rsidR="002923F7">
              <w:rPr>
                <w:b/>
                <w:bCs/>
                <w:noProof/>
                <w:color w:val="808080" w:themeColor="background1" w:themeShade="80"/>
              </w:rPr>
              <w:t>20</w:t>
            </w:r>
            <w:r w:rsidRPr="00586BE4">
              <w:rPr>
                <w:b/>
                <w:bCs/>
                <w:color w:val="808080" w:themeColor="background1" w:themeShade="80"/>
                <w:sz w:val="24"/>
              </w:rPr>
              <w:fldChar w:fldCharType="end"/>
            </w:r>
            <w:r w:rsidRPr="00586BE4">
              <w:rPr>
                <w:color w:val="808080" w:themeColor="background1" w:themeShade="80"/>
              </w:rPr>
              <w:t xml:space="preserve"> of </w:t>
            </w:r>
            <w:r w:rsidRPr="00586BE4">
              <w:rPr>
                <w:b/>
                <w:bCs/>
                <w:color w:val="808080" w:themeColor="background1" w:themeShade="80"/>
                <w:sz w:val="24"/>
              </w:rPr>
              <w:fldChar w:fldCharType="begin"/>
            </w:r>
            <w:r w:rsidRPr="00586BE4">
              <w:rPr>
                <w:b/>
                <w:bCs/>
                <w:color w:val="808080" w:themeColor="background1" w:themeShade="80"/>
              </w:rPr>
              <w:instrText xml:space="preserve"> NUMPAGES  </w:instrText>
            </w:r>
            <w:r w:rsidRPr="00586BE4">
              <w:rPr>
                <w:b/>
                <w:bCs/>
                <w:color w:val="808080" w:themeColor="background1" w:themeShade="80"/>
                <w:sz w:val="24"/>
              </w:rPr>
              <w:fldChar w:fldCharType="separate"/>
            </w:r>
            <w:r w:rsidR="002923F7">
              <w:rPr>
                <w:b/>
                <w:bCs/>
                <w:noProof/>
                <w:color w:val="808080" w:themeColor="background1" w:themeShade="80"/>
              </w:rPr>
              <w:t>20</w:t>
            </w:r>
            <w:r w:rsidRPr="00586BE4">
              <w:rPr>
                <w:b/>
                <w:bCs/>
                <w:color w:val="808080" w:themeColor="background1" w:themeShade="80"/>
                <w:sz w:val="24"/>
              </w:rPr>
              <w:fldChar w:fldCharType="end"/>
            </w:r>
          </w:sdtContent>
        </w:sdt>
      </w:sdtContent>
    </w:sdt>
  </w:p>
  <w:p w14:paraId="6A50C4DC" w14:textId="77777777" w:rsidR="00F6448D" w:rsidRDefault="00F6448D" w:rsidP="008230BF">
    <w:pPr>
      <w:tabs>
        <w:tab w:val="left" w:pos="4153"/>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B4F0C" w14:textId="77777777" w:rsidR="005E7497" w:rsidRDefault="005E7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75139" w14:textId="77777777" w:rsidR="00F6448D" w:rsidRDefault="00F6448D" w:rsidP="00AB27F9">
      <w:r>
        <w:separator/>
      </w:r>
    </w:p>
  </w:footnote>
  <w:footnote w:type="continuationSeparator" w:id="0">
    <w:p w14:paraId="44FB4050" w14:textId="77777777" w:rsidR="00F6448D" w:rsidRDefault="00F6448D" w:rsidP="00AB27F9">
      <w:r>
        <w:continuationSeparator/>
      </w:r>
    </w:p>
  </w:footnote>
  <w:footnote w:type="continuationNotice" w:id="1">
    <w:p w14:paraId="0ABACAE1" w14:textId="77777777" w:rsidR="00F6448D" w:rsidRDefault="00F6448D">
      <w:pPr>
        <w:spacing w:after="0" w:line="240" w:lineRule="auto"/>
      </w:pPr>
    </w:p>
  </w:footnote>
  <w:footnote w:id="2">
    <w:p w14:paraId="1E130627" w14:textId="748750C3" w:rsidR="00F6448D" w:rsidRPr="00CB7581" w:rsidRDefault="00F6448D" w:rsidP="00CB7581">
      <w:pPr>
        <w:pStyle w:val="Footnotes"/>
        <w:rPr>
          <w:rFonts w:eastAsiaTheme="minorHAnsi"/>
        </w:rPr>
      </w:pPr>
      <w:r w:rsidRPr="001F3F52">
        <w:rPr>
          <w:rStyle w:val="FootnoteReference"/>
          <w:rFonts w:eastAsiaTheme="minorHAnsi"/>
          <w:sz w:val="22"/>
          <w:szCs w:val="22"/>
        </w:rPr>
        <w:footnoteRef/>
      </w:r>
      <w:r w:rsidRPr="001F3F52">
        <w:rPr>
          <w:rStyle w:val="FootnoteReference"/>
          <w:rFonts w:eastAsiaTheme="minorHAnsi"/>
          <w:sz w:val="22"/>
          <w:szCs w:val="22"/>
        </w:rPr>
        <w:t xml:space="preserve"> </w:t>
      </w:r>
      <w:r>
        <w:t xml:space="preserve">The compliance activity involving Chemist Warehouse is the subject of a separate but related report – </w:t>
      </w:r>
      <w:r w:rsidR="00CB7581" w:rsidRPr="00CB7581">
        <w:rPr>
          <w:rFonts w:eastAsiaTheme="minorHAnsi"/>
        </w:rPr>
        <w:t>https://www.fairwork.gov.au/ArticleDocuments/762/chemist-warehouse-proactive-compliance-deed-interim-report.docx.aspx</w:t>
      </w:r>
    </w:p>
  </w:footnote>
  <w:footnote w:id="3">
    <w:p w14:paraId="310C03D0" w14:textId="547C4341" w:rsidR="00F6448D" w:rsidRDefault="00F6448D" w:rsidP="00D756B8">
      <w:pPr>
        <w:pStyle w:val="Footnotes"/>
      </w:pPr>
      <w:r w:rsidRPr="00CC63DF">
        <w:rPr>
          <w:rStyle w:val="FootnoteReference"/>
          <w:rFonts w:eastAsiaTheme="minorHAnsi"/>
          <w:sz w:val="22"/>
          <w:szCs w:val="22"/>
        </w:rPr>
        <w:footnoteRef/>
      </w:r>
      <w:r w:rsidRPr="00CC63DF">
        <w:rPr>
          <w:rStyle w:val="FootnoteReference"/>
          <w:rFonts w:eastAsiaTheme="minorHAnsi"/>
          <w:sz w:val="22"/>
          <w:szCs w:val="22"/>
        </w:rPr>
        <w:t xml:space="preserve"> </w:t>
      </w:r>
      <w:r w:rsidR="00D756B8" w:rsidRPr="00D756B8">
        <w:rPr>
          <w:rFonts w:eastAsiaTheme="minorHAnsi"/>
        </w:rPr>
        <w:t>https://www.fairwork.gov.au/about-us/news-and-media-releases/2016-media-releases/december-2016/20161201-chemist-warehouse-mr</w:t>
      </w:r>
    </w:p>
  </w:footnote>
  <w:footnote w:id="4">
    <w:p w14:paraId="0A442B9F" w14:textId="77777777" w:rsidR="00F6448D" w:rsidRPr="00D83E3C" w:rsidRDefault="00F6448D" w:rsidP="00D756B8">
      <w:pPr>
        <w:pStyle w:val="Footnotes"/>
      </w:pPr>
      <w:r w:rsidRPr="001F3F52">
        <w:rPr>
          <w:rStyle w:val="FootnoteReference"/>
          <w:rFonts w:eastAsiaTheme="minorHAnsi"/>
          <w:sz w:val="22"/>
          <w:szCs w:val="22"/>
        </w:rPr>
        <w:footnoteRef/>
      </w:r>
      <w:r w:rsidRPr="00D83E3C">
        <w:t xml:space="preserve"> The FWO commenced the NCM program in February 2015. The report on NCM campaign activities for 2015 can be found at: </w:t>
      </w:r>
      <w:r w:rsidRPr="00D83E3C">
        <w:rPr>
          <w:rStyle w:val="Hyperlink"/>
          <w:rFonts w:asciiTheme="minorHAnsi" w:hAnsiTheme="minorHAnsi" w:cs="Arial"/>
          <w:color w:val="auto"/>
          <w:u w:val="none"/>
        </w:rPr>
        <w:t>https://www.fairwork.gov.au/reports/national-compliance-monitoring-campaign-report</w:t>
      </w:r>
    </w:p>
  </w:footnote>
  <w:footnote w:id="5">
    <w:p w14:paraId="59651DF4" w14:textId="46B410FB" w:rsidR="00F6448D" w:rsidRPr="0078711D" w:rsidRDefault="00F6448D" w:rsidP="00D756B8">
      <w:pPr>
        <w:pStyle w:val="Footnotes"/>
      </w:pPr>
      <w:r w:rsidRPr="001F3F52">
        <w:rPr>
          <w:rStyle w:val="FootnoteReference"/>
          <w:rFonts w:eastAsiaTheme="minorHAnsi"/>
          <w:sz w:val="22"/>
          <w:szCs w:val="22"/>
        </w:rPr>
        <w:footnoteRef/>
      </w:r>
      <w:r w:rsidRPr="001F3F52">
        <w:rPr>
          <w:rStyle w:val="FootnoteReference"/>
          <w:rFonts w:eastAsiaTheme="minorHAnsi"/>
          <w:sz w:val="22"/>
          <w:szCs w:val="22"/>
        </w:rPr>
        <w:t xml:space="preserve"> </w:t>
      </w:r>
      <w:r w:rsidRPr="00D83E3C">
        <w:t>New frontiers in best practice regulation; looking at latest thinking and practice to inform Australia’s approach, Australian Government Department of Jobs and Small Business (June 2018), p.55.</w:t>
      </w:r>
    </w:p>
    <w:p w14:paraId="173B0DDB" w14:textId="77777777" w:rsidR="00F6448D" w:rsidRDefault="00F6448D" w:rsidP="00D756B8">
      <w:pPr>
        <w:pStyle w:val="Footnotes"/>
      </w:pPr>
    </w:p>
  </w:footnote>
  <w:footnote w:id="6">
    <w:p w14:paraId="1B8B7D34" w14:textId="1DD0CC22" w:rsidR="00F6448D" w:rsidRPr="00CB7581" w:rsidRDefault="00F6448D" w:rsidP="00CB7581">
      <w:pPr>
        <w:pStyle w:val="Footnotes"/>
        <w:rPr>
          <w:rStyle w:val="Hyperlink"/>
          <w:rFonts w:asciiTheme="minorHAnsi" w:hAnsiTheme="minorHAnsi" w:cs="Arial"/>
          <w:color w:val="auto"/>
          <w:u w:val="none"/>
        </w:rPr>
      </w:pPr>
      <w:r w:rsidRPr="001F3F52">
        <w:rPr>
          <w:rStyle w:val="FootnoteReference"/>
          <w:rFonts w:eastAsiaTheme="minorHAnsi"/>
          <w:sz w:val="22"/>
          <w:szCs w:val="22"/>
        </w:rPr>
        <w:footnoteRef/>
      </w:r>
      <w:r w:rsidRPr="001F3F52">
        <w:rPr>
          <w:rStyle w:val="FootnoteReference"/>
          <w:rFonts w:eastAsiaTheme="minorHAnsi"/>
          <w:sz w:val="22"/>
          <w:szCs w:val="22"/>
        </w:rPr>
        <w:t xml:space="preserve"> </w:t>
      </w:r>
      <w:r w:rsidR="00CB7581" w:rsidRPr="00CB7581">
        <w:rPr>
          <w:rStyle w:val="Hyperlink"/>
          <w:rFonts w:asciiTheme="minorHAnsi" w:hAnsiTheme="minorHAnsi" w:cs="Arial"/>
          <w:color w:val="auto"/>
          <w:u w:val="none"/>
        </w:rPr>
        <w:t>https://www.fairwork.gov.au/ArticleDocuments/762/chemist-warehouse-proactive-compliance-deed-interim-report.docx.aspx</w:t>
      </w:r>
    </w:p>
  </w:footnote>
  <w:footnote w:id="7">
    <w:p w14:paraId="497620F6" w14:textId="7F88D252" w:rsidR="00F6448D" w:rsidRDefault="00F6448D" w:rsidP="00D756B8">
      <w:pPr>
        <w:pStyle w:val="Footnotes"/>
      </w:pPr>
      <w:r w:rsidRPr="001F3F52">
        <w:rPr>
          <w:rStyle w:val="FootnoteReference"/>
          <w:rFonts w:eastAsiaTheme="minorHAnsi"/>
          <w:sz w:val="22"/>
          <w:szCs w:val="22"/>
        </w:rPr>
        <w:footnoteRef/>
      </w:r>
      <w:r w:rsidRPr="001F3F52">
        <w:rPr>
          <w:rStyle w:val="FootnoteReference"/>
          <w:rFonts w:eastAsiaTheme="minorHAnsi"/>
          <w:sz w:val="22"/>
          <w:szCs w:val="22"/>
        </w:rPr>
        <w:t xml:space="preserve"> </w:t>
      </w:r>
      <w:r w:rsidRPr="00D83E3C">
        <w:t xml:space="preserve">Such as the FWO’s Small Business Showcase: see </w:t>
      </w:r>
      <w:hyperlink r:id="rId1" w:tooltip="Small business showcase page on website" w:history="1">
        <w:r w:rsidRPr="00D83E3C">
          <w:rPr>
            <w:rStyle w:val="Hyperlink"/>
            <w:rFonts w:asciiTheme="minorHAnsi" w:hAnsiTheme="minorHAnsi" w:cs="Arial"/>
            <w:color w:val="auto"/>
            <w:u w:val="none"/>
          </w:rPr>
          <w:t>https://www.fairwork.gov.au/small-business-showcase</w:t>
        </w:r>
      </w:hyperlink>
    </w:p>
  </w:footnote>
  <w:footnote w:id="8">
    <w:p w14:paraId="15FE70C6" w14:textId="7E27A56C" w:rsidR="00F6448D" w:rsidRPr="00D83E3C" w:rsidRDefault="00F6448D" w:rsidP="00D756B8">
      <w:pPr>
        <w:pStyle w:val="Footnotes"/>
      </w:pPr>
      <w:r w:rsidRPr="001F3F52">
        <w:rPr>
          <w:rStyle w:val="FootnoteReference"/>
          <w:rFonts w:eastAsiaTheme="minorHAnsi"/>
          <w:sz w:val="22"/>
          <w:szCs w:val="22"/>
        </w:rPr>
        <w:footnoteRef/>
      </w:r>
      <w:r w:rsidRPr="001F3F52">
        <w:rPr>
          <w:rStyle w:val="FootnoteReference"/>
          <w:rFonts w:eastAsiaTheme="minorHAnsi"/>
          <w:sz w:val="22"/>
          <w:szCs w:val="22"/>
        </w:rPr>
        <w:t xml:space="preserve"> </w:t>
      </w:r>
      <w:r w:rsidRPr="00D83E3C">
        <w:t xml:space="preserve">A copy of the FWO’s Compliance and Enforcement policy can be accessed at: </w:t>
      </w:r>
      <w:hyperlink r:id="rId2" w:tooltip="Compliance and enforcement policy on website" w:history="1">
        <w:r w:rsidRPr="00D83E3C">
          <w:rPr>
            <w:rStyle w:val="Hyperlink"/>
            <w:rFonts w:asciiTheme="minorHAnsi" w:hAnsiTheme="minorHAnsi" w:cs="Arial"/>
            <w:color w:val="auto"/>
            <w:u w:val="none"/>
          </w:rPr>
          <w:t>https://www.fairwork.gov.au/about-us/our-vision/compliance-and-enforcement-policy</w:t>
        </w:r>
      </w:hyperlink>
      <w:bookmarkStart w:id="51" w:name="_GoBack"/>
      <w:bookmarkEnd w:id="51"/>
    </w:p>
  </w:footnote>
  <w:footnote w:id="9">
    <w:p w14:paraId="77CE8202" w14:textId="500A26E6" w:rsidR="00F6448D" w:rsidRPr="00D61CC5" w:rsidRDefault="00F6448D" w:rsidP="00D756B8">
      <w:pPr>
        <w:pStyle w:val="Footnotes"/>
      </w:pPr>
      <w:r w:rsidRPr="001F3F52">
        <w:rPr>
          <w:rStyle w:val="FootnoteReference"/>
          <w:rFonts w:eastAsiaTheme="minorHAnsi"/>
          <w:sz w:val="22"/>
          <w:szCs w:val="22"/>
        </w:rPr>
        <w:footnoteRef/>
      </w:r>
      <w:r w:rsidRPr="001F3F52">
        <w:rPr>
          <w:rStyle w:val="FootnoteReference"/>
          <w:rFonts w:eastAsiaTheme="minorHAnsi"/>
          <w:sz w:val="22"/>
          <w:szCs w:val="22"/>
        </w:rPr>
        <w:t xml:space="preserve"> </w:t>
      </w:r>
      <w:r w:rsidRPr="00D61CC5">
        <w:t>FWO media releases covering these ligation results can be accessed at:</w:t>
      </w:r>
    </w:p>
    <w:p w14:paraId="536D1E99" w14:textId="7B8AC666" w:rsidR="00F6448D" w:rsidRPr="00D61CC5" w:rsidRDefault="002923F7" w:rsidP="00D756B8">
      <w:pPr>
        <w:pStyle w:val="Footnotes"/>
      </w:pPr>
      <w:hyperlink r:id="rId3" w:tooltip="$10k penalty for former owner of Adelaide nail salon media release" w:history="1">
        <w:r w:rsidR="00F6448D" w:rsidRPr="00D61CC5">
          <w:rPr>
            <w:rStyle w:val="Hyperlink"/>
            <w:rFonts w:asciiTheme="minorHAnsi" w:eastAsiaTheme="minorHAnsi" w:hAnsiTheme="minorHAnsi" w:cs="Arial"/>
            <w:color w:val="auto"/>
            <w:u w:val="none"/>
          </w:rPr>
          <w:t>https://www.fairwork.gov.au/about-us/news-and-media-releases/2018-media-releases/august-2018/20180830-hongyen-penalty</w:t>
        </w:r>
      </w:hyperlink>
    </w:p>
    <w:p w14:paraId="30831EF2" w14:textId="091D1C38" w:rsidR="00F6448D" w:rsidRPr="00D61CC5" w:rsidRDefault="002923F7" w:rsidP="00D756B8">
      <w:pPr>
        <w:pStyle w:val="Footnotes"/>
      </w:pPr>
      <w:hyperlink r:id="rId4" w:tooltip="$130,000 penalties after nail salon engages in " w:history="1">
        <w:r w:rsidR="00F6448D" w:rsidRPr="00D61CC5">
          <w:rPr>
            <w:rStyle w:val="Hyperlink"/>
            <w:rFonts w:asciiTheme="minorHAnsi" w:eastAsiaTheme="minorHAnsi" w:hAnsiTheme="minorHAnsi" w:cs="Arial"/>
            <w:color w:val="auto"/>
            <w:u w:val="none"/>
          </w:rPr>
          <w:t>https://www.fairwork.gov.au/about-us/news-and-media-releases/2018-media-releases/july-2018/20180710-house-of-polish-penalty</w:t>
        </w:r>
      </w:hyperlink>
    </w:p>
  </w:footnote>
  <w:footnote w:id="10">
    <w:p w14:paraId="34731915" w14:textId="63735754" w:rsidR="00F6448D" w:rsidRPr="00CB7581" w:rsidRDefault="00F6448D" w:rsidP="00CB7581">
      <w:pPr>
        <w:pStyle w:val="Footnotes"/>
      </w:pPr>
      <w:r w:rsidRPr="00E534BE">
        <w:rPr>
          <w:rStyle w:val="FootnoteReference"/>
          <w:rFonts w:eastAsiaTheme="minorHAnsi"/>
          <w:sz w:val="22"/>
          <w:szCs w:val="22"/>
        </w:rPr>
        <w:footnoteRef/>
      </w:r>
      <w:r w:rsidRPr="00E534BE">
        <w:rPr>
          <w:rStyle w:val="FootnoteReference"/>
          <w:rFonts w:eastAsiaTheme="minorHAnsi"/>
          <w:sz w:val="22"/>
          <w:szCs w:val="22"/>
        </w:rPr>
        <w:t xml:space="preserve"> </w:t>
      </w:r>
      <w:r w:rsidR="00CB7581" w:rsidRPr="00CB7581">
        <w:t>https://www.fairwork.gov.au/ArticleDocuments/762/chemist-warehouse-proactive-compliance-deed-interim-report.docx.aspx</w:t>
      </w:r>
    </w:p>
  </w:footnote>
  <w:footnote w:id="11">
    <w:p w14:paraId="56D7B05C" w14:textId="161C9813" w:rsidR="00F6448D" w:rsidRDefault="00F6448D" w:rsidP="00D756B8">
      <w:pPr>
        <w:pStyle w:val="Footnotes"/>
      </w:pPr>
      <w:r w:rsidRPr="001F3F52">
        <w:rPr>
          <w:rStyle w:val="FootnoteReference"/>
          <w:rFonts w:eastAsiaTheme="minorHAnsi"/>
          <w:sz w:val="22"/>
          <w:szCs w:val="22"/>
        </w:rPr>
        <w:footnoteRef/>
      </w:r>
      <w:r w:rsidRPr="001F3F52">
        <w:rPr>
          <w:rStyle w:val="FootnoteReference"/>
          <w:rFonts w:eastAsiaTheme="minorHAnsi"/>
          <w:sz w:val="22"/>
          <w:szCs w:val="22"/>
        </w:rPr>
        <w:t xml:space="preserve"> </w:t>
      </w:r>
      <w:r w:rsidRPr="00EA2E82">
        <w:t>NCM 2015-16 report: https://www.fairwork.gov.au/reports/national-compliance-monitoring-campaign-report</w:t>
      </w:r>
    </w:p>
  </w:footnote>
  <w:footnote w:id="12">
    <w:p w14:paraId="7B95E7E0" w14:textId="1B63B785" w:rsidR="00F6448D" w:rsidRPr="00DC7463" w:rsidRDefault="00F6448D" w:rsidP="00D756B8">
      <w:pPr>
        <w:pStyle w:val="Footnotes"/>
      </w:pPr>
      <w:r w:rsidRPr="001F3F52">
        <w:rPr>
          <w:rStyle w:val="FootnoteReference"/>
          <w:rFonts w:eastAsiaTheme="minorHAnsi"/>
          <w:sz w:val="22"/>
          <w:szCs w:val="22"/>
        </w:rPr>
        <w:footnoteRef/>
      </w:r>
      <w:r w:rsidRPr="001F3F52">
        <w:rPr>
          <w:rStyle w:val="FootnoteReference"/>
          <w:rFonts w:eastAsiaTheme="minorHAnsi"/>
          <w:sz w:val="22"/>
          <w:szCs w:val="22"/>
        </w:rPr>
        <w:t xml:space="preserve"> </w:t>
      </w:r>
      <w:r w:rsidRPr="00DC7463">
        <w:t>https://www.fairwork.gov.au/about-us/news-and-media-releases/2015-media-releases/august-2015/20150819-mr-kitchen-presser</w:t>
      </w:r>
    </w:p>
  </w:footnote>
  <w:footnote w:id="13">
    <w:p w14:paraId="018829A4" w14:textId="088F501B" w:rsidR="00F6448D" w:rsidRDefault="00F6448D">
      <w:pPr>
        <w:pStyle w:val="FootnoteText"/>
      </w:pPr>
      <w:r>
        <w:rPr>
          <w:rStyle w:val="FootnoteReference"/>
        </w:rPr>
        <w:footnoteRef/>
      </w:r>
      <w:r>
        <w:t xml:space="preserve"> </w:t>
      </w:r>
      <w:r w:rsidRPr="00690262">
        <w:rPr>
          <w:sz w:val="16"/>
          <w:szCs w:val="16"/>
        </w:rPr>
        <w:t>https://www.fairwork.gov.au/about-us/news-and-media-releases/2018-media-releases/august-2018/20180830-hongyen-penalty</w:t>
      </w:r>
    </w:p>
  </w:footnote>
  <w:footnote w:id="14">
    <w:p w14:paraId="74418B75" w14:textId="280598EF" w:rsidR="00F6448D" w:rsidRDefault="00F6448D" w:rsidP="00D756B8">
      <w:pPr>
        <w:pStyle w:val="Footnotes"/>
      </w:pPr>
      <w:r w:rsidRPr="001F3F52">
        <w:rPr>
          <w:rStyle w:val="FootnoteReference"/>
          <w:rFonts w:eastAsiaTheme="minorHAnsi"/>
          <w:sz w:val="22"/>
          <w:szCs w:val="22"/>
        </w:rPr>
        <w:footnoteRef/>
      </w:r>
      <w:r w:rsidRPr="001F3F52">
        <w:rPr>
          <w:rStyle w:val="FootnoteReference"/>
          <w:rFonts w:eastAsiaTheme="minorHAnsi"/>
          <w:sz w:val="22"/>
          <w:szCs w:val="22"/>
        </w:rPr>
        <w:t xml:space="preserve"> </w:t>
      </w:r>
      <w:r w:rsidRPr="009076CD">
        <w:t>FWO media release:</w:t>
      </w:r>
      <w:r>
        <w:t xml:space="preserve"> </w:t>
      </w:r>
      <w:r w:rsidRPr="009076CD">
        <w:t>https://www.fairwork.gov.au/about-us/news-and-media-releases/2018-media-releases/july-2018/20180710-house-of-polish-penalty</w:t>
      </w:r>
    </w:p>
  </w:footnote>
  <w:footnote w:id="15">
    <w:p w14:paraId="18F6E081" w14:textId="77777777" w:rsidR="00F6448D" w:rsidRPr="00D83E3C" w:rsidRDefault="00F6448D" w:rsidP="00D756B8">
      <w:pPr>
        <w:pStyle w:val="Footnotes"/>
      </w:pPr>
      <w:r w:rsidRPr="001F3F52">
        <w:rPr>
          <w:rStyle w:val="FootnoteReference"/>
          <w:rFonts w:eastAsiaTheme="minorHAnsi"/>
          <w:sz w:val="22"/>
          <w:szCs w:val="22"/>
        </w:rPr>
        <w:footnoteRef/>
      </w:r>
      <w:r w:rsidRPr="00D83E3C">
        <w:t xml:space="preserve"> ‘Overall compliance’ refers to compliance with all workplace relations obligations.</w:t>
      </w:r>
    </w:p>
  </w:footnote>
  <w:footnote w:id="16">
    <w:p w14:paraId="520F857C" w14:textId="41D29949" w:rsidR="00F6448D" w:rsidRPr="00D83E3C" w:rsidRDefault="00F6448D" w:rsidP="00D756B8">
      <w:pPr>
        <w:pStyle w:val="Footnotes"/>
      </w:pPr>
      <w:r w:rsidRPr="001F3F52">
        <w:rPr>
          <w:rStyle w:val="FootnoteReference"/>
          <w:rFonts w:eastAsiaTheme="minorHAnsi"/>
          <w:sz w:val="22"/>
          <w:szCs w:val="22"/>
        </w:rPr>
        <w:footnoteRef/>
      </w:r>
      <w:r w:rsidRPr="001F3F52">
        <w:rPr>
          <w:rStyle w:val="FootnoteReference"/>
          <w:rFonts w:eastAsiaTheme="minorHAnsi"/>
          <w:sz w:val="22"/>
          <w:szCs w:val="22"/>
        </w:rPr>
        <w:t xml:space="preserve"> </w:t>
      </w:r>
      <w:r w:rsidRPr="00D83E3C">
        <w:t>The period of measurement for average all-campaign compliance rates is the 2016-2017 financial year, the FWO’s annual reporting period.  National Compliance Monitoring Campaign #2 covered a longer period from January 2016 until June 2017. The difference in reporting periods, as well as variance in campaign scope, size and methodology means than all comparisons discussed here are treated as indicative of compliance trends, and are not considered absolute.</w:t>
      </w:r>
    </w:p>
  </w:footnote>
  <w:footnote w:id="17">
    <w:p w14:paraId="3880D0F8" w14:textId="55A3947B" w:rsidR="00F6448D" w:rsidRPr="00D83E3C" w:rsidRDefault="00F6448D" w:rsidP="00D756B8">
      <w:pPr>
        <w:pStyle w:val="Footnotes"/>
      </w:pPr>
      <w:r w:rsidRPr="001F3F52">
        <w:rPr>
          <w:rStyle w:val="FootnoteReference"/>
          <w:rFonts w:eastAsiaTheme="minorHAnsi"/>
          <w:sz w:val="22"/>
          <w:szCs w:val="22"/>
        </w:rPr>
        <w:footnoteRef/>
      </w:r>
      <w:r w:rsidRPr="00D83E3C">
        <w:t xml:space="preserve"> ‘Non-monetary’ refers to pay slip and record-keeping obligations as set out by the Act and Regulations.</w:t>
      </w:r>
    </w:p>
  </w:footnote>
  <w:footnote w:id="18">
    <w:p w14:paraId="48B0A66A" w14:textId="15AD5A19" w:rsidR="00F6448D" w:rsidRDefault="00F6448D" w:rsidP="00D756B8">
      <w:pPr>
        <w:pStyle w:val="Footnotes"/>
      </w:pPr>
      <w:r w:rsidRPr="001E2E2F">
        <w:rPr>
          <w:rStyle w:val="FootnoteReference"/>
          <w:rFonts w:eastAsiaTheme="minorHAnsi"/>
          <w:sz w:val="22"/>
          <w:szCs w:val="22"/>
        </w:rPr>
        <w:footnoteRef/>
      </w:r>
      <w:r w:rsidRPr="00D83E3C">
        <w:t xml:space="preserve"> Only the most relevant selection of industries subject to FWO audits have been included in the table.</w:t>
      </w:r>
    </w:p>
  </w:footnote>
  <w:footnote w:id="19">
    <w:p w14:paraId="40DD9BA7" w14:textId="77777777" w:rsidR="00F6448D" w:rsidRDefault="00F6448D" w:rsidP="00D756B8">
      <w:pPr>
        <w:pStyle w:val="Footnotes"/>
      </w:pPr>
      <w:r w:rsidRPr="001E2E2F">
        <w:rPr>
          <w:rStyle w:val="FootnoteReference"/>
          <w:rFonts w:eastAsiaTheme="minorHAnsi"/>
          <w:sz w:val="22"/>
          <w:szCs w:val="22"/>
        </w:rPr>
        <w:footnoteRef/>
      </w:r>
      <w:r>
        <w:t xml:space="preserve"> </w:t>
      </w:r>
      <w:r w:rsidRPr="008F4B39">
        <w:t>FWO also received the highest number of Requests for Assistance from the Accommodation and Food Services industry (17% of all Requests for Assistance) in the 2016 -2017 period.</w:t>
      </w:r>
    </w:p>
  </w:footnote>
  <w:footnote w:id="20">
    <w:p w14:paraId="6213F0C9" w14:textId="3FD6C85A" w:rsidR="00F6448D" w:rsidRDefault="00F6448D" w:rsidP="00D756B8">
      <w:pPr>
        <w:pStyle w:val="Footnotes"/>
      </w:pPr>
      <w:r w:rsidRPr="001E2E2F">
        <w:rPr>
          <w:rStyle w:val="FootnoteReference"/>
          <w:rFonts w:eastAsiaTheme="minorHAnsi"/>
          <w:sz w:val="22"/>
          <w:szCs w:val="22"/>
        </w:rPr>
        <w:footnoteRef/>
      </w:r>
      <w:r w:rsidRPr="001E2E2F">
        <w:rPr>
          <w:rStyle w:val="FootnoteReference"/>
          <w:rFonts w:eastAsiaTheme="minorHAnsi"/>
          <w:sz w:val="22"/>
          <w:szCs w:val="22"/>
        </w:rPr>
        <w:t xml:space="preserve"> </w:t>
      </w:r>
      <w:r w:rsidRPr="008F4B39">
        <w:t xml:space="preserve">FWO Food Precincts Activities Report, July 2018: </w:t>
      </w:r>
      <w:hyperlink r:id="rId5" w:tooltip="Food Precincts Activities Report on website" w:history="1">
        <w:r w:rsidRPr="008F4B39">
          <w:rPr>
            <w:rStyle w:val="Hyperlink"/>
            <w:rFonts w:asciiTheme="minorHAnsi" w:hAnsiTheme="minorHAnsi" w:cs="Arial"/>
            <w:color w:val="auto"/>
            <w:u w:val="none"/>
          </w:rPr>
          <w:t>https://www.fairwork.gov.au/reports/food-precincts-activities-report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737DF" w14:textId="77777777" w:rsidR="00F6448D" w:rsidRDefault="00F6448D">
    <w:pPr>
      <w:pStyle w:val="Header"/>
    </w:pPr>
  </w:p>
  <w:p w14:paraId="79873E0D" w14:textId="77777777" w:rsidR="00F6448D" w:rsidRDefault="00F6448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5B3D0" w14:textId="27EB84DF" w:rsidR="00F6448D" w:rsidRDefault="00F6448D" w:rsidP="00A7427B">
    <w:pPr>
      <w:tabs>
        <w:tab w:val="left" w:pos="92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90E9" w14:textId="77777777" w:rsidR="00F6448D" w:rsidRPr="003952ED" w:rsidRDefault="00F6448D" w:rsidP="00AB27F9">
    <w:pPr>
      <w:rPr>
        <w:u w:val="single"/>
      </w:rPr>
    </w:pPr>
    <w:r>
      <w:rPr>
        <w:noProof/>
        <w:u w:val="single"/>
        <w:lang w:eastAsia="en-AU"/>
      </w:rPr>
      <w:drawing>
        <wp:anchor distT="0" distB="0" distL="114300" distR="114300" simplePos="0" relativeHeight="251657216" behindDoc="1" locked="0" layoutInCell="1" allowOverlap="1" wp14:anchorId="7DCB94F3" wp14:editId="4FB5BB6B">
          <wp:simplePos x="0" y="0"/>
          <wp:positionH relativeFrom="page">
            <wp:posOffset>-13648</wp:posOffset>
          </wp:positionH>
          <wp:positionV relativeFrom="paragraph">
            <wp:posOffset>13648</wp:posOffset>
          </wp:positionV>
          <wp:extent cx="7722577" cy="10847172"/>
          <wp:effectExtent l="0" t="0" r="0" b="0"/>
          <wp:wrapNone/>
          <wp:docPr id="7" name="Picture 7" title="Background image with 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ct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22577" cy="108471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rPr>
        <w:rFonts w:cs="Times New Roman"/>
      </w:rPr>
    </w:lvl>
  </w:abstractNum>
  <w:abstractNum w:abstractNumId="1" w15:restartNumberingAfterBreak="0">
    <w:nsid w:val="04585E14"/>
    <w:multiLevelType w:val="hybridMultilevel"/>
    <w:tmpl w:val="C7360312"/>
    <w:lvl w:ilvl="0" w:tplc="0D68BDAA">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3B3321"/>
    <w:multiLevelType w:val="hybridMultilevel"/>
    <w:tmpl w:val="E166BCEC"/>
    <w:lvl w:ilvl="0" w:tplc="55344160">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62696"/>
    <w:multiLevelType w:val="hybridMultilevel"/>
    <w:tmpl w:val="14323B42"/>
    <w:lvl w:ilvl="0" w:tplc="DF38EBE8">
      <w:start w:val="1"/>
      <w:numFmt w:val="bullet"/>
      <w:lvlText w:val="­"/>
      <w:lvlJc w:val="left"/>
      <w:pPr>
        <w:ind w:left="720" w:hanging="360"/>
      </w:pPr>
      <w:rPr>
        <w:rFonts w:ascii="Arial" w:hAnsi="Arial" w:hint="default"/>
        <w:color w:val="17365D" w:themeColor="text2" w:themeShade="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ED358C"/>
    <w:multiLevelType w:val="hybridMultilevel"/>
    <w:tmpl w:val="FE6C3ABC"/>
    <w:lvl w:ilvl="0" w:tplc="B13CC22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AF566BA"/>
    <w:multiLevelType w:val="hybridMultilevel"/>
    <w:tmpl w:val="809AF41A"/>
    <w:lvl w:ilvl="0" w:tplc="0D68BDAA">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3544E0"/>
    <w:multiLevelType w:val="hybridMultilevel"/>
    <w:tmpl w:val="04580DCA"/>
    <w:lvl w:ilvl="0" w:tplc="85A6CF5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0B45386"/>
    <w:multiLevelType w:val="hybridMultilevel"/>
    <w:tmpl w:val="50D09202"/>
    <w:lvl w:ilvl="0" w:tplc="B3DA2A3A">
      <w:start w:val="2015"/>
      <w:numFmt w:val="bullet"/>
      <w:lvlText w:val="-"/>
      <w:lvlJc w:val="left"/>
      <w:pPr>
        <w:ind w:left="717" w:hanging="360"/>
      </w:pPr>
      <w:rPr>
        <w:rFonts w:ascii="Calibri" w:eastAsiaTheme="minorHAnsi" w:hAnsi="Calibri" w:cs="Calibr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8" w15:restartNumberingAfterBreak="0">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9" w15:restartNumberingAfterBreak="0">
    <w:nsid w:val="2E0A0250"/>
    <w:multiLevelType w:val="hybridMultilevel"/>
    <w:tmpl w:val="E72AE610"/>
    <w:lvl w:ilvl="0" w:tplc="0D68BDAA">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7D188B"/>
    <w:multiLevelType w:val="hybridMultilevel"/>
    <w:tmpl w:val="8996E54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2B7BD9"/>
    <w:multiLevelType w:val="hybridMultilevel"/>
    <w:tmpl w:val="123AA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5B1095"/>
    <w:multiLevelType w:val="hybridMultilevel"/>
    <w:tmpl w:val="269C851E"/>
    <w:lvl w:ilvl="0" w:tplc="42C4DC08">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851264"/>
    <w:multiLevelType w:val="hybridMultilevel"/>
    <w:tmpl w:val="9704F570"/>
    <w:lvl w:ilvl="0" w:tplc="6FB6FFAE">
      <w:start w:val="1"/>
      <w:numFmt w:val="bullet"/>
      <w:pStyle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950743"/>
    <w:multiLevelType w:val="hybridMultilevel"/>
    <w:tmpl w:val="0B726646"/>
    <w:lvl w:ilvl="0" w:tplc="19260AC0">
      <w:start w:val="1"/>
      <w:numFmt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BE26C1"/>
    <w:multiLevelType w:val="hybridMultilevel"/>
    <w:tmpl w:val="49E41ECC"/>
    <w:lvl w:ilvl="0" w:tplc="FEC8D70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F15FC4"/>
    <w:multiLevelType w:val="hybridMultilevel"/>
    <w:tmpl w:val="5C62AF8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4E3A56CE"/>
    <w:multiLevelType w:val="hybridMultilevel"/>
    <w:tmpl w:val="C2780248"/>
    <w:lvl w:ilvl="0" w:tplc="0D68BDAA">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E946D2"/>
    <w:multiLevelType w:val="hybridMultilevel"/>
    <w:tmpl w:val="5A8886AA"/>
    <w:lvl w:ilvl="0" w:tplc="0D68BDAA">
      <w:start w:val="1"/>
      <w:numFmt w:val="bullet"/>
      <w:lvlText w:val=""/>
      <w:lvlJc w:val="left"/>
      <w:pPr>
        <w:ind w:left="360" w:hanging="360"/>
      </w:pPr>
      <w:rPr>
        <w:rFonts w:ascii="Wingdings" w:hAnsi="Wingdings" w:hint="default"/>
        <w:color w:val="17365D" w:themeColor="text2"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E73C6D"/>
    <w:multiLevelType w:val="hybridMultilevel"/>
    <w:tmpl w:val="7C6EF0DA"/>
    <w:lvl w:ilvl="0" w:tplc="6E4E088C">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C918D5"/>
    <w:multiLevelType w:val="hybridMultilevel"/>
    <w:tmpl w:val="1A604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19773E"/>
    <w:multiLevelType w:val="hybridMultilevel"/>
    <w:tmpl w:val="C8B69EF8"/>
    <w:lvl w:ilvl="0" w:tplc="0D68BDAA">
      <w:start w:val="1"/>
      <w:numFmt w:val="bullet"/>
      <w:lvlText w:val=""/>
      <w:lvlJc w:val="left"/>
      <w:pPr>
        <w:ind w:left="1077" w:hanging="360"/>
      </w:pPr>
      <w:rPr>
        <w:rFonts w:ascii="Wingdings" w:hAnsi="Wingdings" w:hint="default"/>
        <w:color w:val="17365D" w:themeColor="text2" w:themeShade="BF"/>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5D66618D"/>
    <w:multiLevelType w:val="hybridMultilevel"/>
    <w:tmpl w:val="504496C0"/>
    <w:lvl w:ilvl="0" w:tplc="0D68BDAA">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BF203F"/>
    <w:multiLevelType w:val="hybridMultilevel"/>
    <w:tmpl w:val="8AA45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521D58"/>
    <w:multiLevelType w:val="hybridMultilevel"/>
    <w:tmpl w:val="7392045C"/>
    <w:lvl w:ilvl="0" w:tplc="AD12F86A">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8C2600"/>
    <w:multiLevelType w:val="hybridMultilevel"/>
    <w:tmpl w:val="20BC44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230040F"/>
    <w:multiLevelType w:val="hybridMultilevel"/>
    <w:tmpl w:val="C7AE12F4"/>
    <w:lvl w:ilvl="0" w:tplc="6B70212A">
      <w:start w:val="1"/>
      <w:numFmt w:val="bullet"/>
      <w:lvlText w:val=""/>
      <w:lvlJc w:val="left"/>
      <w:pPr>
        <w:ind w:left="360" w:hanging="360"/>
      </w:pPr>
      <w:rPr>
        <w:rFonts w:ascii="Wingdings" w:hAnsi="Wingdings" w:hint="default"/>
        <w:color w:val="17365D" w:themeColor="text2" w:themeShade="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EC0388"/>
    <w:multiLevelType w:val="hybridMultilevel"/>
    <w:tmpl w:val="BB52B868"/>
    <w:lvl w:ilvl="0" w:tplc="625CE758">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9" w15:restartNumberingAfterBreak="0">
    <w:nsid w:val="6A3947A2"/>
    <w:multiLevelType w:val="hybridMultilevel"/>
    <w:tmpl w:val="A4445550"/>
    <w:lvl w:ilvl="0" w:tplc="0D68BDAA">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D8C50A2"/>
    <w:multiLevelType w:val="hybridMultilevel"/>
    <w:tmpl w:val="4182907A"/>
    <w:lvl w:ilvl="0" w:tplc="0D68BDAA">
      <w:start w:val="1"/>
      <w:numFmt w:val="bullet"/>
      <w:lvlText w:val=""/>
      <w:lvlJc w:val="left"/>
      <w:pPr>
        <w:ind w:left="720" w:hanging="360"/>
      </w:pPr>
      <w:rPr>
        <w:rFonts w:ascii="Wingdings" w:hAnsi="Wingdings" w:hint="default"/>
        <w:color w:val="17365D" w:themeColor="text2" w:themeShade="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1621D6"/>
    <w:multiLevelType w:val="hybridMultilevel"/>
    <w:tmpl w:val="9E00E3E0"/>
    <w:lvl w:ilvl="0" w:tplc="0D68BDAA">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0F1B2F"/>
    <w:multiLevelType w:val="hybridMultilevel"/>
    <w:tmpl w:val="FAF05330"/>
    <w:lvl w:ilvl="0" w:tplc="0D68BDAA">
      <w:start w:val="1"/>
      <w:numFmt w:val="bullet"/>
      <w:lvlText w:val=""/>
      <w:lvlJc w:val="left"/>
      <w:pPr>
        <w:ind w:left="360" w:hanging="360"/>
      </w:pPr>
      <w:rPr>
        <w:rFonts w:ascii="Wingdings" w:hAnsi="Wingdings" w:hint="default"/>
        <w:color w:val="17365D" w:themeColor="text2"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913B1F"/>
    <w:multiLevelType w:val="hybridMultilevel"/>
    <w:tmpl w:val="578C222C"/>
    <w:lvl w:ilvl="0" w:tplc="17A218D8">
      <w:start w:val="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AC2E15"/>
    <w:multiLevelType w:val="hybridMultilevel"/>
    <w:tmpl w:val="50369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5A5B26"/>
    <w:multiLevelType w:val="hybridMultilevel"/>
    <w:tmpl w:val="1B724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C45E9A"/>
    <w:multiLevelType w:val="hybridMultilevel"/>
    <w:tmpl w:val="24227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3D5A5A"/>
    <w:multiLevelType w:val="hybridMultilevel"/>
    <w:tmpl w:val="DC7062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A542EA8"/>
    <w:multiLevelType w:val="hybridMultilevel"/>
    <w:tmpl w:val="30161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CA74EE"/>
    <w:multiLevelType w:val="hybridMultilevel"/>
    <w:tmpl w:val="F8C08228"/>
    <w:lvl w:ilvl="0" w:tplc="A51217D4">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8"/>
  </w:num>
  <w:num w:numId="4">
    <w:abstractNumId w:val="28"/>
  </w:num>
  <w:num w:numId="5">
    <w:abstractNumId w:val="30"/>
  </w:num>
  <w:num w:numId="6">
    <w:abstractNumId w:val="29"/>
  </w:num>
  <w:num w:numId="7">
    <w:abstractNumId w:val="14"/>
  </w:num>
  <w:num w:numId="8">
    <w:abstractNumId w:val="15"/>
  </w:num>
  <w:num w:numId="9">
    <w:abstractNumId w:val="10"/>
  </w:num>
  <w:num w:numId="10">
    <w:abstractNumId w:val="14"/>
  </w:num>
  <w:num w:numId="11">
    <w:abstractNumId w:val="4"/>
  </w:num>
  <w:num w:numId="12">
    <w:abstractNumId w:val="27"/>
  </w:num>
  <w:num w:numId="13">
    <w:abstractNumId w:val="11"/>
  </w:num>
  <w:num w:numId="14">
    <w:abstractNumId w:val="39"/>
  </w:num>
  <w:num w:numId="15">
    <w:abstractNumId w:val="25"/>
  </w:num>
  <w:num w:numId="16">
    <w:abstractNumId w:val="20"/>
  </w:num>
  <w:num w:numId="17">
    <w:abstractNumId w:val="36"/>
  </w:num>
  <w:num w:numId="18">
    <w:abstractNumId w:val="18"/>
  </w:num>
  <w:num w:numId="19">
    <w:abstractNumId w:val="33"/>
  </w:num>
  <w:num w:numId="20">
    <w:abstractNumId w:val="6"/>
  </w:num>
  <w:num w:numId="21">
    <w:abstractNumId w:val="35"/>
  </w:num>
  <w:num w:numId="22">
    <w:abstractNumId w:val="38"/>
  </w:num>
  <w:num w:numId="23">
    <w:abstractNumId w:val="6"/>
  </w:num>
  <w:num w:numId="24">
    <w:abstractNumId w:val="37"/>
  </w:num>
  <w:num w:numId="25">
    <w:abstractNumId w:val="19"/>
  </w:num>
  <w:num w:numId="26">
    <w:abstractNumId w:val="19"/>
  </w:num>
  <w:num w:numId="27">
    <w:abstractNumId w:val="19"/>
  </w:num>
  <w:num w:numId="28">
    <w:abstractNumId w:val="19"/>
  </w:num>
  <w:num w:numId="29">
    <w:abstractNumId w:val="31"/>
  </w:num>
  <w:num w:numId="30">
    <w:abstractNumId w:val="14"/>
  </w:num>
  <w:num w:numId="31">
    <w:abstractNumId w:val="26"/>
  </w:num>
  <w:num w:numId="32">
    <w:abstractNumId w:val="23"/>
  </w:num>
  <w:num w:numId="33">
    <w:abstractNumId w:val="12"/>
  </w:num>
  <w:num w:numId="34">
    <w:abstractNumId w:val="2"/>
  </w:num>
  <w:num w:numId="35">
    <w:abstractNumId w:val="5"/>
  </w:num>
  <w:num w:numId="36">
    <w:abstractNumId w:val="1"/>
  </w:num>
  <w:num w:numId="37">
    <w:abstractNumId w:val="9"/>
  </w:num>
  <w:num w:numId="38">
    <w:abstractNumId w:val="32"/>
  </w:num>
  <w:num w:numId="39">
    <w:abstractNumId w:val="22"/>
  </w:num>
  <w:num w:numId="40">
    <w:abstractNumId w:val="41"/>
  </w:num>
  <w:num w:numId="41">
    <w:abstractNumId w:val="17"/>
  </w:num>
  <w:num w:numId="42">
    <w:abstractNumId w:val="24"/>
  </w:num>
  <w:num w:numId="43">
    <w:abstractNumId w:val="16"/>
  </w:num>
  <w:num w:numId="44">
    <w:abstractNumId w:val="21"/>
  </w:num>
  <w:num w:numId="45">
    <w:abstractNumId w:val="40"/>
  </w:num>
  <w:num w:numId="46">
    <w:abstractNumId w:val="13"/>
  </w:num>
  <w:num w:numId="47">
    <w:abstractNumId w:val="3"/>
  </w:num>
  <w:num w:numId="4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89"/>
    <w:rsid w:val="0000366A"/>
    <w:rsid w:val="00003FF8"/>
    <w:rsid w:val="00006389"/>
    <w:rsid w:val="00006D48"/>
    <w:rsid w:val="00007969"/>
    <w:rsid w:val="00011005"/>
    <w:rsid w:val="000116F6"/>
    <w:rsid w:val="00015F3D"/>
    <w:rsid w:val="0001610C"/>
    <w:rsid w:val="00017C7C"/>
    <w:rsid w:val="00020053"/>
    <w:rsid w:val="000202CB"/>
    <w:rsid w:val="00020ED9"/>
    <w:rsid w:val="000213EF"/>
    <w:rsid w:val="00021AB7"/>
    <w:rsid w:val="00026DB4"/>
    <w:rsid w:val="00027353"/>
    <w:rsid w:val="000316C0"/>
    <w:rsid w:val="0003296A"/>
    <w:rsid w:val="00034329"/>
    <w:rsid w:val="00036FFD"/>
    <w:rsid w:val="00040179"/>
    <w:rsid w:val="000419B9"/>
    <w:rsid w:val="000423D6"/>
    <w:rsid w:val="00043D63"/>
    <w:rsid w:val="00043E1F"/>
    <w:rsid w:val="00044A07"/>
    <w:rsid w:val="00046825"/>
    <w:rsid w:val="0005051A"/>
    <w:rsid w:val="00050B61"/>
    <w:rsid w:val="00051793"/>
    <w:rsid w:val="00054725"/>
    <w:rsid w:val="0005541C"/>
    <w:rsid w:val="000562E0"/>
    <w:rsid w:val="000574E1"/>
    <w:rsid w:val="00057AE4"/>
    <w:rsid w:val="00057B1C"/>
    <w:rsid w:val="000612A8"/>
    <w:rsid w:val="000617EE"/>
    <w:rsid w:val="00061A71"/>
    <w:rsid w:val="00062C67"/>
    <w:rsid w:val="00064562"/>
    <w:rsid w:val="00064E85"/>
    <w:rsid w:val="000652ED"/>
    <w:rsid w:val="00065777"/>
    <w:rsid w:val="00066051"/>
    <w:rsid w:val="00067031"/>
    <w:rsid w:val="00067DE9"/>
    <w:rsid w:val="00070178"/>
    <w:rsid w:val="000706FA"/>
    <w:rsid w:val="0007301D"/>
    <w:rsid w:val="0007428E"/>
    <w:rsid w:val="00077467"/>
    <w:rsid w:val="00081585"/>
    <w:rsid w:val="000820CA"/>
    <w:rsid w:val="00082676"/>
    <w:rsid w:val="00082981"/>
    <w:rsid w:val="0008466E"/>
    <w:rsid w:val="0008511A"/>
    <w:rsid w:val="00085CCF"/>
    <w:rsid w:val="000878CC"/>
    <w:rsid w:val="00087C97"/>
    <w:rsid w:val="00090047"/>
    <w:rsid w:val="000904AE"/>
    <w:rsid w:val="00090703"/>
    <w:rsid w:val="00090A58"/>
    <w:rsid w:val="0009122D"/>
    <w:rsid w:val="000916E2"/>
    <w:rsid w:val="00092DCF"/>
    <w:rsid w:val="00094D00"/>
    <w:rsid w:val="00096E24"/>
    <w:rsid w:val="0009727F"/>
    <w:rsid w:val="000A098A"/>
    <w:rsid w:val="000A1C34"/>
    <w:rsid w:val="000A346C"/>
    <w:rsid w:val="000A3E52"/>
    <w:rsid w:val="000A468B"/>
    <w:rsid w:val="000A5FE4"/>
    <w:rsid w:val="000A7C46"/>
    <w:rsid w:val="000B04DA"/>
    <w:rsid w:val="000B1536"/>
    <w:rsid w:val="000B1AEB"/>
    <w:rsid w:val="000B29A4"/>
    <w:rsid w:val="000B4091"/>
    <w:rsid w:val="000B4E93"/>
    <w:rsid w:val="000B5AE5"/>
    <w:rsid w:val="000C0B96"/>
    <w:rsid w:val="000C1DF4"/>
    <w:rsid w:val="000C2782"/>
    <w:rsid w:val="000C33C0"/>
    <w:rsid w:val="000C359C"/>
    <w:rsid w:val="000C49F6"/>
    <w:rsid w:val="000C4C6E"/>
    <w:rsid w:val="000C4E2C"/>
    <w:rsid w:val="000C4F75"/>
    <w:rsid w:val="000C51F7"/>
    <w:rsid w:val="000C63F1"/>
    <w:rsid w:val="000C6826"/>
    <w:rsid w:val="000C691F"/>
    <w:rsid w:val="000C6A5F"/>
    <w:rsid w:val="000D08E1"/>
    <w:rsid w:val="000D09E1"/>
    <w:rsid w:val="000D140D"/>
    <w:rsid w:val="000D1707"/>
    <w:rsid w:val="000D29E1"/>
    <w:rsid w:val="000D5361"/>
    <w:rsid w:val="000D5977"/>
    <w:rsid w:val="000E08E4"/>
    <w:rsid w:val="000E0C17"/>
    <w:rsid w:val="000E2601"/>
    <w:rsid w:val="000E28B8"/>
    <w:rsid w:val="000E324E"/>
    <w:rsid w:val="000E362E"/>
    <w:rsid w:val="000E36D6"/>
    <w:rsid w:val="000E37AC"/>
    <w:rsid w:val="000E53BC"/>
    <w:rsid w:val="000E6570"/>
    <w:rsid w:val="000E750D"/>
    <w:rsid w:val="000E7E17"/>
    <w:rsid w:val="000F0FBA"/>
    <w:rsid w:val="000F1F48"/>
    <w:rsid w:val="000F22D0"/>
    <w:rsid w:val="000F2720"/>
    <w:rsid w:val="000F41F5"/>
    <w:rsid w:val="000F4B5B"/>
    <w:rsid w:val="000F5674"/>
    <w:rsid w:val="000F6065"/>
    <w:rsid w:val="000F6172"/>
    <w:rsid w:val="001014A0"/>
    <w:rsid w:val="00104C28"/>
    <w:rsid w:val="00104F19"/>
    <w:rsid w:val="001052A8"/>
    <w:rsid w:val="00105CEF"/>
    <w:rsid w:val="00106B77"/>
    <w:rsid w:val="00107E02"/>
    <w:rsid w:val="00107EF2"/>
    <w:rsid w:val="00111949"/>
    <w:rsid w:val="00111A59"/>
    <w:rsid w:val="00111C6A"/>
    <w:rsid w:val="00112C1C"/>
    <w:rsid w:val="00112C68"/>
    <w:rsid w:val="00114D46"/>
    <w:rsid w:val="001155A5"/>
    <w:rsid w:val="001159F0"/>
    <w:rsid w:val="00120AEA"/>
    <w:rsid w:val="00125A38"/>
    <w:rsid w:val="001261AC"/>
    <w:rsid w:val="00127C72"/>
    <w:rsid w:val="00131EAA"/>
    <w:rsid w:val="001329A5"/>
    <w:rsid w:val="00132B9A"/>
    <w:rsid w:val="00133B21"/>
    <w:rsid w:val="00133B24"/>
    <w:rsid w:val="00135385"/>
    <w:rsid w:val="001354A9"/>
    <w:rsid w:val="0013580F"/>
    <w:rsid w:val="00135A9B"/>
    <w:rsid w:val="001402B7"/>
    <w:rsid w:val="0014065F"/>
    <w:rsid w:val="00141B1F"/>
    <w:rsid w:val="00142043"/>
    <w:rsid w:val="00145E04"/>
    <w:rsid w:val="001465B1"/>
    <w:rsid w:val="00146C6D"/>
    <w:rsid w:val="001478E0"/>
    <w:rsid w:val="001506E4"/>
    <w:rsid w:val="00152B25"/>
    <w:rsid w:val="00153566"/>
    <w:rsid w:val="00156BB6"/>
    <w:rsid w:val="001579C2"/>
    <w:rsid w:val="001607FB"/>
    <w:rsid w:val="0016101D"/>
    <w:rsid w:val="0016117D"/>
    <w:rsid w:val="001645D0"/>
    <w:rsid w:val="0016465A"/>
    <w:rsid w:val="00164666"/>
    <w:rsid w:val="00165429"/>
    <w:rsid w:val="001663F3"/>
    <w:rsid w:val="001676B6"/>
    <w:rsid w:val="00167DAA"/>
    <w:rsid w:val="00171847"/>
    <w:rsid w:val="00172023"/>
    <w:rsid w:val="00172BAB"/>
    <w:rsid w:val="0017428F"/>
    <w:rsid w:val="0017494A"/>
    <w:rsid w:val="00175E30"/>
    <w:rsid w:val="00175F7A"/>
    <w:rsid w:val="001762F7"/>
    <w:rsid w:val="00177CFF"/>
    <w:rsid w:val="00181475"/>
    <w:rsid w:val="001846A5"/>
    <w:rsid w:val="00184852"/>
    <w:rsid w:val="001850B4"/>
    <w:rsid w:val="00190392"/>
    <w:rsid w:val="0019080C"/>
    <w:rsid w:val="00192673"/>
    <w:rsid w:val="001939C1"/>
    <w:rsid w:val="00194A0D"/>
    <w:rsid w:val="0019619D"/>
    <w:rsid w:val="001A09B7"/>
    <w:rsid w:val="001A4525"/>
    <w:rsid w:val="001A45FE"/>
    <w:rsid w:val="001A4F9B"/>
    <w:rsid w:val="001A663E"/>
    <w:rsid w:val="001A715F"/>
    <w:rsid w:val="001B1E02"/>
    <w:rsid w:val="001B21EB"/>
    <w:rsid w:val="001B2781"/>
    <w:rsid w:val="001B2A68"/>
    <w:rsid w:val="001B2FB1"/>
    <w:rsid w:val="001B6CDC"/>
    <w:rsid w:val="001B6E38"/>
    <w:rsid w:val="001B73A2"/>
    <w:rsid w:val="001C01B4"/>
    <w:rsid w:val="001C235E"/>
    <w:rsid w:val="001C3557"/>
    <w:rsid w:val="001C495B"/>
    <w:rsid w:val="001C6C5F"/>
    <w:rsid w:val="001D17AC"/>
    <w:rsid w:val="001D3C71"/>
    <w:rsid w:val="001D6D36"/>
    <w:rsid w:val="001D6E22"/>
    <w:rsid w:val="001D75B0"/>
    <w:rsid w:val="001E2E2F"/>
    <w:rsid w:val="001E405A"/>
    <w:rsid w:val="001E47B4"/>
    <w:rsid w:val="001E62FF"/>
    <w:rsid w:val="001F17FD"/>
    <w:rsid w:val="001F20C3"/>
    <w:rsid w:val="001F3149"/>
    <w:rsid w:val="001F3169"/>
    <w:rsid w:val="001F3F52"/>
    <w:rsid w:val="001F4CCA"/>
    <w:rsid w:val="001F4D11"/>
    <w:rsid w:val="001F6009"/>
    <w:rsid w:val="001F731F"/>
    <w:rsid w:val="001F79E7"/>
    <w:rsid w:val="00202018"/>
    <w:rsid w:val="002023A6"/>
    <w:rsid w:val="00202975"/>
    <w:rsid w:val="00202E24"/>
    <w:rsid w:val="00202E5C"/>
    <w:rsid w:val="002055BC"/>
    <w:rsid w:val="00205DBE"/>
    <w:rsid w:val="00205EC4"/>
    <w:rsid w:val="00206034"/>
    <w:rsid w:val="00207A3C"/>
    <w:rsid w:val="00210548"/>
    <w:rsid w:val="00210CEF"/>
    <w:rsid w:val="00212107"/>
    <w:rsid w:val="00214011"/>
    <w:rsid w:val="00214C39"/>
    <w:rsid w:val="002172E4"/>
    <w:rsid w:val="00217622"/>
    <w:rsid w:val="00220C66"/>
    <w:rsid w:val="0023130D"/>
    <w:rsid w:val="00231486"/>
    <w:rsid w:val="00233907"/>
    <w:rsid w:val="00234C0E"/>
    <w:rsid w:val="00234EB1"/>
    <w:rsid w:val="00234F96"/>
    <w:rsid w:val="002351BB"/>
    <w:rsid w:val="002357DD"/>
    <w:rsid w:val="002360C9"/>
    <w:rsid w:val="00240C40"/>
    <w:rsid w:val="002414A5"/>
    <w:rsid w:val="002418BE"/>
    <w:rsid w:val="00242218"/>
    <w:rsid w:val="002443FF"/>
    <w:rsid w:val="00244EEE"/>
    <w:rsid w:val="002450DA"/>
    <w:rsid w:val="0024677B"/>
    <w:rsid w:val="0025049D"/>
    <w:rsid w:val="00250A68"/>
    <w:rsid w:val="00252709"/>
    <w:rsid w:val="002529DC"/>
    <w:rsid w:val="002533F0"/>
    <w:rsid w:val="0025534A"/>
    <w:rsid w:val="00256022"/>
    <w:rsid w:val="00256366"/>
    <w:rsid w:val="00256A66"/>
    <w:rsid w:val="002577ED"/>
    <w:rsid w:val="00260660"/>
    <w:rsid w:val="00260F93"/>
    <w:rsid w:val="00261C90"/>
    <w:rsid w:val="00261EA4"/>
    <w:rsid w:val="0026246F"/>
    <w:rsid w:val="00263883"/>
    <w:rsid w:val="00263A01"/>
    <w:rsid w:val="00263D6F"/>
    <w:rsid w:val="00264288"/>
    <w:rsid w:val="002643FE"/>
    <w:rsid w:val="00264B7C"/>
    <w:rsid w:val="002657BB"/>
    <w:rsid w:val="00266BAB"/>
    <w:rsid w:val="00267652"/>
    <w:rsid w:val="00270B57"/>
    <w:rsid w:val="002722B1"/>
    <w:rsid w:val="00272BAF"/>
    <w:rsid w:val="002735ED"/>
    <w:rsid w:val="00274039"/>
    <w:rsid w:val="00274AE7"/>
    <w:rsid w:val="00274AEF"/>
    <w:rsid w:val="002752BB"/>
    <w:rsid w:val="00276013"/>
    <w:rsid w:val="00276933"/>
    <w:rsid w:val="002774B0"/>
    <w:rsid w:val="00277947"/>
    <w:rsid w:val="0028102F"/>
    <w:rsid w:val="00281A0F"/>
    <w:rsid w:val="00281AEA"/>
    <w:rsid w:val="0028208F"/>
    <w:rsid w:val="002823FE"/>
    <w:rsid w:val="0028405E"/>
    <w:rsid w:val="002858E3"/>
    <w:rsid w:val="00286A4C"/>
    <w:rsid w:val="00287088"/>
    <w:rsid w:val="00291E5B"/>
    <w:rsid w:val="0029200B"/>
    <w:rsid w:val="00292308"/>
    <w:rsid w:val="002923F7"/>
    <w:rsid w:val="002928B0"/>
    <w:rsid w:val="00292A57"/>
    <w:rsid w:val="00292AAB"/>
    <w:rsid w:val="00293C53"/>
    <w:rsid w:val="002946A0"/>
    <w:rsid w:val="002958C4"/>
    <w:rsid w:val="002961C7"/>
    <w:rsid w:val="002962FA"/>
    <w:rsid w:val="00296923"/>
    <w:rsid w:val="002A38FA"/>
    <w:rsid w:val="002A3ECC"/>
    <w:rsid w:val="002A4276"/>
    <w:rsid w:val="002A62FD"/>
    <w:rsid w:val="002A7FB1"/>
    <w:rsid w:val="002B2BCC"/>
    <w:rsid w:val="002B4212"/>
    <w:rsid w:val="002B5FAD"/>
    <w:rsid w:val="002B621B"/>
    <w:rsid w:val="002B6D0E"/>
    <w:rsid w:val="002B6DBC"/>
    <w:rsid w:val="002C0A91"/>
    <w:rsid w:val="002C0B8B"/>
    <w:rsid w:val="002C0E08"/>
    <w:rsid w:val="002C4765"/>
    <w:rsid w:val="002C4986"/>
    <w:rsid w:val="002C5DFE"/>
    <w:rsid w:val="002C73FB"/>
    <w:rsid w:val="002C769D"/>
    <w:rsid w:val="002D25FA"/>
    <w:rsid w:val="002D4156"/>
    <w:rsid w:val="002D4584"/>
    <w:rsid w:val="002D5153"/>
    <w:rsid w:val="002D5278"/>
    <w:rsid w:val="002D694E"/>
    <w:rsid w:val="002D7B33"/>
    <w:rsid w:val="002E148B"/>
    <w:rsid w:val="002E23E2"/>
    <w:rsid w:val="002E5DD7"/>
    <w:rsid w:val="002E699C"/>
    <w:rsid w:val="002E6E0C"/>
    <w:rsid w:val="002F018D"/>
    <w:rsid w:val="002F0AB8"/>
    <w:rsid w:val="002F0DF6"/>
    <w:rsid w:val="002F2808"/>
    <w:rsid w:val="002F61D0"/>
    <w:rsid w:val="003070E2"/>
    <w:rsid w:val="00307F24"/>
    <w:rsid w:val="00310687"/>
    <w:rsid w:val="00311B65"/>
    <w:rsid w:val="003138C0"/>
    <w:rsid w:val="00314B88"/>
    <w:rsid w:val="00315824"/>
    <w:rsid w:val="00315AB8"/>
    <w:rsid w:val="003164E9"/>
    <w:rsid w:val="00316985"/>
    <w:rsid w:val="00316A93"/>
    <w:rsid w:val="0031795C"/>
    <w:rsid w:val="0032006D"/>
    <w:rsid w:val="00320BDF"/>
    <w:rsid w:val="003215C7"/>
    <w:rsid w:val="00324184"/>
    <w:rsid w:val="003251BB"/>
    <w:rsid w:val="00325A7D"/>
    <w:rsid w:val="00325C10"/>
    <w:rsid w:val="00325C9E"/>
    <w:rsid w:val="003268E6"/>
    <w:rsid w:val="00327301"/>
    <w:rsid w:val="00327539"/>
    <w:rsid w:val="00330F14"/>
    <w:rsid w:val="00332317"/>
    <w:rsid w:val="003336F1"/>
    <w:rsid w:val="003343B7"/>
    <w:rsid w:val="00334CD3"/>
    <w:rsid w:val="0033651B"/>
    <w:rsid w:val="0033684C"/>
    <w:rsid w:val="00337CA0"/>
    <w:rsid w:val="00340E0D"/>
    <w:rsid w:val="003412BC"/>
    <w:rsid w:val="00341A80"/>
    <w:rsid w:val="00342B1E"/>
    <w:rsid w:val="00343CFD"/>
    <w:rsid w:val="0034403B"/>
    <w:rsid w:val="00344450"/>
    <w:rsid w:val="00345AD1"/>
    <w:rsid w:val="003501DC"/>
    <w:rsid w:val="003514C1"/>
    <w:rsid w:val="00351C6C"/>
    <w:rsid w:val="00352593"/>
    <w:rsid w:val="00354195"/>
    <w:rsid w:val="00354A03"/>
    <w:rsid w:val="003555F0"/>
    <w:rsid w:val="00355DEE"/>
    <w:rsid w:val="00356EEC"/>
    <w:rsid w:val="00357936"/>
    <w:rsid w:val="00357D51"/>
    <w:rsid w:val="00357F01"/>
    <w:rsid w:val="003614B3"/>
    <w:rsid w:val="00361F44"/>
    <w:rsid w:val="00364575"/>
    <w:rsid w:val="00366043"/>
    <w:rsid w:val="003664FA"/>
    <w:rsid w:val="00366541"/>
    <w:rsid w:val="003668DD"/>
    <w:rsid w:val="00366EBF"/>
    <w:rsid w:val="00370454"/>
    <w:rsid w:val="00371258"/>
    <w:rsid w:val="00371F95"/>
    <w:rsid w:val="00372254"/>
    <w:rsid w:val="00373849"/>
    <w:rsid w:val="00374555"/>
    <w:rsid w:val="003749B1"/>
    <w:rsid w:val="00374EF9"/>
    <w:rsid w:val="00374F9A"/>
    <w:rsid w:val="003801F7"/>
    <w:rsid w:val="00380ABF"/>
    <w:rsid w:val="00381256"/>
    <w:rsid w:val="00382A68"/>
    <w:rsid w:val="003840C4"/>
    <w:rsid w:val="0038439E"/>
    <w:rsid w:val="00385AF4"/>
    <w:rsid w:val="00385ED7"/>
    <w:rsid w:val="003861B5"/>
    <w:rsid w:val="0038662F"/>
    <w:rsid w:val="0038679F"/>
    <w:rsid w:val="003912AC"/>
    <w:rsid w:val="003952ED"/>
    <w:rsid w:val="00396B4E"/>
    <w:rsid w:val="00397C00"/>
    <w:rsid w:val="00397C03"/>
    <w:rsid w:val="003A1605"/>
    <w:rsid w:val="003A3334"/>
    <w:rsid w:val="003A56B1"/>
    <w:rsid w:val="003B04E7"/>
    <w:rsid w:val="003B0AFA"/>
    <w:rsid w:val="003B121D"/>
    <w:rsid w:val="003B2808"/>
    <w:rsid w:val="003B35B1"/>
    <w:rsid w:val="003B4B49"/>
    <w:rsid w:val="003B4E7B"/>
    <w:rsid w:val="003B6004"/>
    <w:rsid w:val="003B62FE"/>
    <w:rsid w:val="003C0FC9"/>
    <w:rsid w:val="003C21B0"/>
    <w:rsid w:val="003C31C5"/>
    <w:rsid w:val="003C4541"/>
    <w:rsid w:val="003C6D5B"/>
    <w:rsid w:val="003D186F"/>
    <w:rsid w:val="003D18E2"/>
    <w:rsid w:val="003D2933"/>
    <w:rsid w:val="003D3BEC"/>
    <w:rsid w:val="003D5230"/>
    <w:rsid w:val="003D73A8"/>
    <w:rsid w:val="003D7FAD"/>
    <w:rsid w:val="003E0FDA"/>
    <w:rsid w:val="003E1889"/>
    <w:rsid w:val="003E290B"/>
    <w:rsid w:val="003E2FB5"/>
    <w:rsid w:val="003E31DE"/>
    <w:rsid w:val="003E5BF7"/>
    <w:rsid w:val="003F25CF"/>
    <w:rsid w:val="003F2B4F"/>
    <w:rsid w:val="003F43F0"/>
    <w:rsid w:val="003F662B"/>
    <w:rsid w:val="003F6FDA"/>
    <w:rsid w:val="003F7115"/>
    <w:rsid w:val="003F71BA"/>
    <w:rsid w:val="003F7C5E"/>
    <w:rsid w:val="00400743"/>
    <w:rsid w:val="00400810"/>
    <w:rsid w:val="004009A8"/>
    <w:rsid w:val="0040294F"/>
    <w:rsid w:val="00402A5C"/>
    <w:rsid w:val="00403015"/>
    <w:rsid w:val="004033BF"/>
    <w:rsid w:val="00403C72"/>
    <w:rsid w:val="004044C1"/>
    <w:rsid w:val="004046AC"/>
    <w:rsid w:val="0040491A"/>
    <w:rsid w:val="0040543F"/>
    <w:rsid w:val="00405844"/>
    <w:rsid w:val="0040675A"/>
    <w:rsid w:val="00407A47"/>
    <w:rsid w:val="00410018"/>
    <w:rsid w:val="00410A21"/>
    <w:rsid w:val="00413610"/>
    <w:rsid w:val="004139E4"/>
    <w:rsid w:val="004154CF"/>
    <w:rsid w:val="00415691"/>
    <w:rsid w:val="00415E7E"/>
    <w:rsid w:val="004171B5"/>
    <w:rsid w:val="00420B7A"/>
    <w:rsid w:val="004213FF"/>
    <w:rsid w:val="0042311E"/>
    <w:rsid w:val="00423C6B"/>
    <w:rsid w:val="00424C94"/>
    <w:rsid w:val="004275F7"/>
    <w:rsid w:val="00430549"/>
    <w:rsid w:val="004335A2"/>
    <w:rsid w:val="00433812"/>
    <w:rsid w:val="00433DC7"/>
    <w:rsid w:val="004345D1"/>
    <w:rsid w:val="00436CD6"/>
    <w:rsid w:val="00443296"/>
    <w:rsid w:val="00444354"/>
    <w:rsid w:val="00446756"/>
    <w:rsid w:val="004475E1"/>
    <w:rsid w:val="00447D31"/>
    <w:rsid w:val="00450804"/>
    <w:rsid w:val="00451CB0"/>
    <w:rsid w:val="00451E9A"/>
    <w:rsid w:val="0045285F"/>
    <w:rsid w:val="0045600E"/>
    <w:rsid w:val="00457A3D"/>
    <w:rsid w:val="00463C84"/>
    <w:rsid w:val="00463F3A"/>
    <w:rsid w:val="00463FCF"/>
    <w:rsid w:val="004650C3"/>
    <w:rsid w:val="00467B47"/>
    <w:rsid w:val="00474DB5"/>
    <w:rsid w:val="00475F07"/>
    <w:rsid w:val="00476A59"/>
    <w:rsid w:val="00476F97"/>
    <w:rsid w:val="00477C84"/>
    <w:rsid w:val="004807A3"/>
    <w:rsid w:val="004835F6"/>
    <w:rsid w:val="00487612"/>
    <w:rsid w:val="00490360"/>
    <w:rsid w:val="00491A16"/>
    <w:rsid w:val="004925C2"/>
    <w:rsid w:val="004936C7"/>
    <w:rsid w:val="0049447F"/>
    <w:rsid w:val="004947D1"/>
    <w:rsid w:val="00494BAC"/>
    <w:rsid w:val="00495626"/>
    <w:rsid w:val="00495DA8"/>
    <w:rsid w:val="004976FE"/>
    <w:rsid w:val="00497F76"/>
    <w:rsid w:val="004A29A2"/>
    <w:rsid w:val="004A38A5"/>
    <w:rsid w:val="004A428B"/>
    <w:rsid w:val="004A62DE"/>
    <w:rsid w:val="004B2104"/>
    <w:rsid w:val="004B22E3"/>
    <w:rsid w:val="004B22F3"/>
    <w:rsid w:val="004B3283"/>
    <w:rsid w:val="004B345E"/>
    <w:rsid w:val="004B38D3"/>
    <w:rsid w:val="004B399A"/>
    <w:rsid w:val="004B405C"/>
    <w:rsid w:val="004B5241"/>
    <w:rsid w:val="004B78E0"/>
    <w:rsid w:val="004C0B44"/>
    <w:rsid w:val="004C0B58"/>
    <w:rsid w:val="004C1581"/>
    <w:rsid w:val="004C1755"/>
    <w:rsid w:val="004C32C9"/>
    <w:rsid w:val="004C33F0"/>
    <w:rsid w:val="004C3A2B"/>
    <w:rsid w:val="004C41F4"/>
    <w:rsid w:val="004C4C80"/>
    <w:rsid w:val="004C4F97"/>
    <w:rsid w:val="004C5A49"/>
    <w:rsid w:val="004C601D"/>
    <w:rsid w:val="004C694A"/>
    <w:rsid w:val="004C6B22"/>
    <w:rsid w:val="004C7EEF"/>
    <w:rsid w:val="004D111F"/>
    <w:rsid w:val="004D35D5"/>
    <w:rsid w:val="004D6240"/>
    <w:rsid w:val="004D75A1"/>
    <w:rsid w:val="004D791A"/>
    <w:rsid w:val="004E017A"/>
    <w:rsid w:val="004E1F9D"/>
    <w:rsid w:val="004E2431"/>
    <w:rsid w:val="004E3470"/>
    <w:rsid w:val="004E36F6"/>
    <w:rsid w:val="004E59D9"/>
    <w:rsid w:val="004E6524"/>
    <w:rsid w:val="004E7102"/>
    <w:rsid w:val="004E7C5C"/>
    <w:rsid w:val="004F15FA"/>
    <w:rsid w:val="004F3284"/>
    <w:rsid w:val="004F4518"/>
    <w:rsid w:val="004F4F14"/>
    <w:rsid w:val="004F690A"/>
    <w:rsid w:val="004F7B08"/>
    <w:rsid w:val="004F7FC6"/>
    <w:rsid w:val="00500E15"/>
    <w:rsid w:val="005014DC"/>
    <w:rsid w:val="00501D43"/>
    <w:rsid w:val="005023DB"/>
    <w:rsid w:val="00502485"/>
    <w:rsid w:val="00503E04"/>
    <w:rsid w:val="005068BC"/>
    <w:rsid w:val="005073AA"/>
    <w:rsid w:val="00507DC9"/>
    <w:rsid w:val="005103EE"/>
    <w:rsid w:val="005103F2"/>
    <w:rsid w:val="00512B40"/>
    <w:rsid w:val="00514B5C"/>
    <w:rsid w:val="00515FA6"/>
    <w:rsid w:val="00521141"/>
    <w:rsid w:val="00521616"/>
    <w:rsid w:val="005239AB"/>
    <w:rsid w:val="00523F90"/>
    <w:rsid w:val="0052421F"/>
    <w:rsid w:val="00524378"/>
    <w:rsid w:val="00524450"/>
    <w:rsid w:val="00524C21"/>
    <w:rsid w:val="00526002"/>
    <w:rsid w:val="00526BDD"/>
    <w:rsid w:val="00526D58"/>
    <w:rsid w:val="005305A4"/>
    <w:rsid w:val="00530CE8"/>
    <w:rsid w:val="00531F90"/>
    <w:rsid w:val="00533528"/>
    <w:rsid w:val="005338F5"/>
    <w:rsid w:val="005339C3"/>
    <w:rsid w:val="00534273"/>
    <w:rsid w:val="005357C4"/>
    <w:rsid w:val="005359EA"/>
    <w:rsid w:val="00536B0B"/>
    <w:rsid w:val="00536C42"/>
    <w:rsid w:val="00537A23"/>
    <w:rsid w:val="005411C3"/>
    <w:rsid w:val="005414C0"/>
    <w:rsid w:val="00541B82"/>
    <w:rsid w:val="0054296D"/>
    <w:rsid w:val="005442BE"/>
    <w:rsid w:val="0054474D"/>
    <w:rsid w:val="00544E3F"/>
    <w:rsid w:val="005454F1"/>
    <w:rsid w:val="00545EA1"/>
    <w:rsid w:val="00546126"/>
    <w:rsid w:val="0054680A"/>
    <w:rsid w:val="00546C2E"/>
    <w:rsid w:val="00546C5A"/>
    <w:rsid w:val="0055136D"/>
    <w:rsid w:val="00551468"/>
    <w:rsid w:val="00551512"/>
    <w:rsid w:val="00551D53"/>
    <w:rsid w:val="00557437"/>
    <w:rsid w:val="00557D9C"/>
    <w:rsid w:val="00560F44"/>
    <w:rsid w:val="00561588"/>
    <w:rsid w:val="00563038"/>
    <w:rsid w:val="00563089"/>
    <w:rsid w:val="0056350C"/>
    <w:rsid w:val="005670DC"/>
    <w:rsid w:val="00567150"/>
    <w:rsid w:val="0056752B"/>
    <w:rsid w:val="00567761"/>
    <w:rsid w:val="00570F92"/>
    <w:rsid w:val="00571181"/>
    <w:rsid w:val="0057123D"/>
    <w:rsid w:val="00571542"/>
    <w:rsid w:val="005718E1"/>
    <w:rsid w:val="00572893"/>
    <w:rsid w:val="00572C00"/>
    <w:rsid w:val="005742D8"/>
    <w:rsid w:val="00575AD3"/>
    <w:rsid w:val="00580E26"/>
    <w:rsid w:val="0058231D"/>
    <w:rsid w:val="0058246A"/>
    <w:rsid w:val="00582E38"/>
    <w:rsid w:val="005857CD"/>
    <w:rsid w:val="00585A31"/>
    <w:rsid w:val="00585E13"/>
    <w:rsid w:val="00586BE4"/>
    <w:rsid w:val="00587007"/>
    <w:rsid w:val="00587A9D"/>
    <w:rsid w:val="00592085"/>
    <w:rsid w:val="005921A0"/>
    <w:rsid w:val="005929B1"/>
    <w:rsid w:val="00592A13"/>
    <w:rsid w:val="00592C2E"/>
    <w:rsid w:val="00593E35"/>
    <w:rsid w:val="005952E9"/>
    <w:rsid w:val="00595C6C"/>
    <w:rsid w:val="0059624A"/>
    <w:rsid w:val="00596451"/>
    <w:rsid w:val="005967D0"/>
    <w:rsid w:val="005A0D3D"/>
    <w:rsid w:val="005A3C1C"/>
    <w:rsid w:val="005A5409"/>
    <w:rsid w:val="005A562C"/>
    <w:rsid w:val="005A610F"/>
    <w:rsid w:val="005A7003"/>
    <w:rsid w:val="005A727C"/>
    <w:rsid w:val="005A72BA"/>
    <w:rsid w:val="005A77E8"/>
    <w:rsid w:val="005B0639"/>
    <w:rsid w:val="005B12EA"/>
    <w:rsid w:val="005B19D7"/>
    <w:rsid w:val="005B2911"/>
    <w:rsid w:val="005B3334"/>
    <w:rsid w:val="005B3A17"/>
    <w:rsid w:val="005B513C"/>
    <w:rsid w:val="005B60AB"/>
    <w:rsid w:val="005C08CF"/>
    <w:rsid w:val="005C1F7B"/>
    <w:rsid w:val="005C390A"/>
    <w:rsid w:val="005C3C83"/>
    <w:rsid w:val="005C5471"/>
    <w:rsid w:val="005C6E19"/>
    <w:rsid w:val="005D0E39"/>
    <w:rsid w:val="005D107E"/>
    <w:rsid w:val="005D15C7"/>
    <w:rsid w:val="005D26B0"/>
    <w:rsid w:val="005D3B65"/>
    <w:rsid w:val="005E0C8E"/>
    <w:rsid w:val="005E19B8"/>
    <w:rsid w:val="005E3ED5"/>
    <w:rsid w:val="005E7497"/>
    <w:rsid w:val="005F01B0"/>
    <w:rsid w:val="005F0C2A"/>
    <w:rsid w:val="005F105F"/>
    <w:rsid w:val="005F2D85"/>
    <w:rsid w:val="005F2F7B"/>
    <w:rsid w:val="005F358C"/>
    <w:rsid w:val="005F489E"/>
    <w:rsid w:val="005F4B7B"/>
    <w:rsid w:val="0060095F"/>
    <w:rsid w:val="00602CBE"/>
    <w:rsid w:val="00603858"/>
    <w:rsid w:val="00605A9B"/>
    <w:rsid w:val="00605AA3"/>
    <w:rsid w:val="00605F31"/>
    <w:rsid w:val="00606399"/>
    <w:rsid w:val="0060649A"/>
    <w:rsid w:val="00607471"/>
    <w:rsid w:val="0060757F"/>
    <w:rsid w:val="00607993"/>
    <w:rsid w:val="00611E91"/>
    <w:rsid w:val="00612257"/>
    <w:rsid w:val="00615957"/>
    <w:rsid w:val="00616148"/>
    <w:rsid w:val="00616647"/>
    <w:rsid w:val="00620AC9"/>
    <w:rsid w:val="00622BB8"/>
    <w:rsid w:val="00623C28"/>
    <w:rsid w:val="00624A88"/>
    <w:rsid w:val="0062575C"/>
    <w:rsid w:val="00625E14"/>
    <w:rsid w:val="0062659B"/>
    <w:rsid w:val="00626686"/>
    <w:rsid w:val="00626ADA"/>
    <w:rsid w:val="0062705E"/>
    <w:rsid w:val="00630CC7"/>
    <w:rsid w:val="00631685"/>
    <w:rsid w:val="00635BD6"/>
    <w:rsid w:val="006368B0"/>
    <w:rsid w:val="00636EA7"/>
    <w:rsid w:val="00637381"/>
    <w:rsid w:val="00637D93"/>
    <w:rsid w:val="00641670"/>
    <w:rsid w:val="006431B7"/>
    <w:rsid w:val="00644DA5"/>
    <w:rsid w:val="00645311"/>
    <w:rsid w:val="00645EF4"/>
    <w:rsid w:val="00646FEB"/>
    <w:rsid w:val="00647AAC"/>
    <w:rsid w:val="0065111B"/>
    <w:rsid w:val="00652251"/>
    <w:rsid w:val="00654B6E"/>
    <w:rsid w:val="0065685C"/>
    <w:rsid w:val="00657743"/>
    <w:rsid w:val="006615E0"/>
    <w:rsid w:val="00662A76"/>
    <w:rsid w:val="00663F9B"/>
    <w:rsid w:val="00665EB1"/>
    <w:rsid w:val="00666A7E"/>
    <w:rsid w:val="00666FD1"/>
    <w:rsid w:val="006674B8"/>
    <w:rsid w:val="00670DA1"/>
    <w:rsid w:val="0067189F"/>
    <w:rsid w:val="00673F9A"/>
    <w:rsid w:val="00676529"/>
    <w:rsid w:val="00677776"/>
    <w:rsid w:val="00680075"/>
    <w:rsid w:val="00680865"/>
    <w:rsid w:val="00681844"/>
    <w:rsid w:val="00681A80"/>
    <w:rsid w:val="006824E7"/>
    <w:rsid w:val="0068292A"/>
    <w:rsid w:val="00682AA6"/>
    <w:rsid w:val="006836FC"/>
    <w:rsid w:val="006866A8"/>
    <w:rsid w:val="006867F2"/>
    <w:rsid w:val="006872C1"/>
    <w:rsid w:val="006878B3"/>
    <w:rsid w:val="00687EF0"/>
    <w:rsid w:val="00690262"/>
    <w:rsid w:val="00690CE6"/>
    <w:rsid w:val="00694A02"/>
    <w:rsid w:val="0069564F"/>
    <w:rsid w:val="0069586F"/>
    <w:rsid w:val="00696A88"/>
    <w:rsid w:val="006A00CD"/>
    <w:rsid w:val="006A03F7"/>
    <w:rsid w:val="006A1F46"/>
    <w:rsid w:val="006A3138"/>
    <w:rsid w:val="006A3313"/>
    <w:rsid w:val="006A4117"/>
    <w:rsid w:val="006A412C"/>
    <w:rsid w:val="006A4BFB"/>
    <w:rsid w:val="006A4CA7"/>
    <w:rsid w:val="006A4F83"/>
    <w:rsid w:val="006A61E4"/>
    <w:rsid w:val="006A61F6"/>
    <w:rsid w:val="006A63A8"/>
    <w:rsid w:val="006A64AC"/>
    <w:rsid w:val="006A78F5"/>
    <w:rsid w:val="006B0212"/>
    <w:rsid w:val="006B070E"/>
    <w:rsid w:val="006B1037"/>
    <w:rsid w:val="006B2491"/>
    <w:rsid w:val="006B379C"/>
    <w:rsid w:val="006B78AA"/>
    <w:rsid w:val="006B7D36"/>
    <w:rsid w:val="006C0187"/>
    <w:rsid w:val="006C0437"/>
    <w:rsid w:val="006C1B27"/>
    <w:rsid w:val="006C2BEE"/>
    <w:rsid w:val="006C3DAE"/>
    <w:rsid w:val="006C3E32"/>
    <w:rsid w:val="006C64E4"/>
    <w:rsid w:val="006C6611"/>
    <w:rsid w:val="006C71CD"/>
    <w:rsid w:val="006D0B25"/>
    <w:rsid w:val="006D3970"/>
    <w:rsid w:val="006D425F"/>
    <w:rsid w:val="006D466B"/>
    <w:rsid w:val="006D6992"/>
    <w:rsid w:val="006D6D88"/>
    <w:rsid w:val="006D75B6"/>
    <w:rsid w:val="006E0516"/>
    <w:rsid w:val="006E2A93"/>
    <w:rsid w:val="006E34AE"/>
    <w:rsid w:val="006E3E02"/>
    <w:rsid w:val="006E4452"/>
    <w:rsid w:val="006E4D7E"/>
    <w:rsid w:val="006E566B"/>
    <w:rsid w:val="006E7D24"/>
    <w:rsid w:val="006F07AE"/>
    <w:rsid w:val="006F1A48"/>
    <w:rsid w:val="006F35A1"/>
    <w:rsid w:val="006F6476"/>
    <w:rsid w:val="006F6491"/>
    <w:rsid w:val="006F6517"/>
    <w:rsid w:val="006F665C"/>
    <w:rsid w:val="006F731B"/>
    <w:rsid w:val="006F7A96"/>
    <w:rsid w:val="0070101E"/>
    <w:rsid w:val="007013DD"/>
    <w:rsid w:val="007017FA"/>
    <w:rsid w:val="007023B8"/>
    <w:rsid w:val="00707E47"/>
    <w:rsid w:val="00712111"/>
    <w:rsid w:val="00714CC0"/>
    <w:rsid w:val="00715756"/>
    <w:rsid w:val="00716B99"/>
    <w:rsid w:val="00717C75"/>
    <w:rsid w:val="00722A59"/>
    <w:rsid w:val="00723712"/>
    <w:rsid w:val="007246B9"/>
    <w:rsid w:val="00725C8E"/>
    <w:rsid w:val="00726B3F"/>
    <w:rsid w:val="007274CA"/>
    <w:rsid w:val="00730D0E"/>
    <w:rsid w:val="00730EE7"/>
    <w:rsid w:val="00730F96"/>
    <w:rsid w:val="007316D7"/>
    <w:rsid w:val="00732D12"/>
    <w:rsid w:val="00733042"/>
    <w:rsid w:val="00735AB0"/>
    <w:rsid w:val="0073623E"/>
    <w:rsid w:val="00736A92"/>
    <w:rsid w:val="00736C10"/>
    <w:rsid w:val="007374D6"/>
    <w:rsid w:val="00737CD4"/>
    <w:rsid w:val="00741B29"/>
    <w:rsid w:val="00742380"/>
    <w:rsid w:val="00742CE0"/>
    <w:rsid w:val="00742F48"/>
    <w:rsid w:val="00743B2F"/>
    <w:rsid w:val="00743F89"/>
    <w:rsid w:val="0074584F"/>
    <w:rsid w:val="00746718"/>
    <w:rsid w:val="00746FC8"/>
    <w:rsid w:val="007475FC"/>
    <w:rsid w:val="00750799"/>
    <w:rsid w:val="0075325F"/>
    <w:rsid w:val="00754685"/>
    <w:rsid w:val="007556E2"/>
    <w:rsid w:val="0075579B"/>
    <w:rsid w:val="007626BD"/>
    <w:rsid w:val="007631DF"/>
    <w:rsid w:val="00764913"/>
    <w:rsid w:val="00764C53"/>
    <w:rsid w:val="007662D3"/>
    <w:rsid w:val="00767714"/>
    <w:rsid w:val="00771371"/>
    <w:rsid w:val="00771A55"/>
    <w:rsid w:val="00773ED9"/>
    <w:rsid w:val="00774166"/>
    <w:rsid w:val="007750CE"/>
    <w:rsid w:val="00777D52"/>
    <w:rsid w:val="0078048B"/>
    <w:rsid w:val="00781041"/>
    <w:rsid w:val="00785B74"/>
    <w:rsid w:val="007868DF"/>
    <w:rsid w:val="0078711D"/>
    <w:rsid w:val="00791100"/>
    <w:rsid w:val="00791818"/>
    <w:rsid w:val="007922C2"/>
    <w:rsid w:val="007929E9"/>
    <w:rsid w:val="00795A82"/>
    <w:rsid w:val="00796F88"/>
    <w:rsid w:val="007A0BB8"/>
    <w:rsid w:val="007A19DA"/>
    <w:rsid w:val="007A2082"/>
    <w:rsid w:val="007A2965"/>
    <w:rsid w:val="007A2D49"/>
    <w:rsid w:val="007A4098"/>
    <w:rsid w:val="007A6309"/>
    <w:rsid w:val="007A7911"/>
    <w:rsid w:val="007B0086"/>
    <w:rsid w:val="007B02A4"/>
    <w:rsid w:val="007B0612"/>
    <w:rsid w:val="007B0F87"/>
    <w:rsid w:val="007B16EE"/>
    <w:rsid w:val="007B6033"/>
    <w:rsid w:val="007B6A13"/>
    <w:rsid w:val="007B75FC"/>
    <w:rsid w:val="007B7CBB"/>
    <w:rsid w:val="007C12C7"/>
    <w:rsid w:val="007C1D32"/>
    <w:rsid w:val="007C75D8"/>
    <w:rsid w:val="007C78FD"/>
    <w:rsid w:val="007D06A1"/>
    <w:rsid w:val="007D06CF"/>
    <w:rsid w:val="007D09C9"/>
    <w:rsid w:val="007D142E"/>
    <w:rsid w:val="007D14BE"/>
    <w:rsid w:val="007D22F0"/>
    <w:rsid w:val="007D3F76"/>
    <w:rsid w:val="007D427E"/>
    <w:rsid w:val="007D50B7"/>
    <w:rsid w:val="007D53D6"/>
    <w:rsid w:val="007D66FA"/>
    <w:rsid w:val="007D6DEC"/>
    <w:rsid w:val="007E15F1"/>
    <w:rsid w:val="007E1B5B"/>
    <w:rsid w:val="007E1EA5"/>
    <w:rsid w:val="007E2466"/>
    <w:rsid w:val="007E3190"/>
    <w:rsid w:val="007E3577"/>
    <w:rsid w:val="007E36D6"/>
    <w:rsid w:val="007E4C63"/>
    <w:rsid w:val="007E61E3"/>
    <w:rsid w:val="007E6493"/>
    <w:rsid w:val="007E6536"/>
    <w:rsid w:val="007E6AF9"/>
    <w:rsid w:val="007F0566"/>
    <w:rsid w:val="007F0F13"/>
    <w:rsid w:val="007F194A"/>
    <w:rsid w:val="007F1CF3"/>
    <w:rsid w:val="007F21F4"/>
    <w:rsid w:val="007F266C"/>
    <w:rsid w:val="007F5284"/>
    <w:rsid w:val="007F7EE0"/>
    <w:rsid w:val="008008EC"/>
    <w:rsid w:val="00803AD9"/>
    <w:rsid w:val="00810FFB"/>
    <w:rsid w:val="00811B8B"/>
    <w:rsid w:val="00813552"/>
    <w:rsid w:val="008136E9"/>
    <w:rsid w:val="0081381C"/>
    <w:rsid w:val="0081443A"/>
    <w:rsid w:val="00814507"/>
    <w:rsid w:val="00815837"/>
    <w:rsid w:val="008160D9"/>
    <w:rsid w:val="00820161"/>
    <w:rsid w:val="008205AC"/>
    <w:rsid w:val="008217E4"/>
    <w:rsid w:val="00822EEF"/>
    <w:rsid w:val="008230BF"/>
    <w:rsid w:val="00823A60"/>
    <w:rsid w:val="00823EDC"/>
    <w:rsid w:val="00825BFC"/>
    <w:rsid w:val="00825D49"/>
    <w:rsid w:val="00826786"/>
    <w:rsid w:val="00826EED"/>
    <w:rsid w:val="00831E6D"/>
    <w:rsid w:val="008324C6"/>
    <w:rsid w:val="00832C2D"/>
    <w:rsid w:val="00833AE6"/>
    <w:rsid w:val="008340F6"/>
    <w:rsid w:val="00836997"/>
    <w:rsid w:val="00840399"/>
    <w:rsid w:val="008408B0"/>
    <w:rsid w:val="008424A6"/>
    <w:rsid w:val="008424B5"/>
    <w:rsid w:val="008426B1"/>
    <w:rsid w:val="008430E4"/>
    <w:rsid w:val="00843BB9"/>
    <w:rsid w:val="008450A9"/>
    <w:rsid w:val="008463E6"/>
    <w:rsid w:val="00846CAD"/>
    <w:rsid w:val="00847220"/>
    <w:rsid w:val="008476CA"/>
    <w:rsid w:val="00847FC4"/>
    <w:rsid w:val="00850F2F"/>
    <w:rsid w:val="00851BAF"/>
    <w:rsid w:val="0085384B"/>
    <w:rsid w:val="00854C21"/>
    <w:rsid w:val="00855722"/>
    <w:rsid w:val="00856E98"/>
    <w:rsid w:val="00857375"/>
    <w:rsid w:val="00857951"/>
    <w:rsid w:val="00860091"/>
    <w:rsid w:val="00860980"/>
    <w:rsid w:val="008610B5"/>
    <w:rsid w:val="008618FA"/>
    <w:rsid w:val="008625F3"/>
    <w:rsid w:val="00863590"/>
    <w:rsid w:val="008655B7"/>
    <w:rsid w:val="00865FB8"/>
    <w:rsid w:val="00866489"/>
    <w:rsid w:val="008664D1"/>
    <w:rsid w:val="00866977"/>
    <w:rsid w:val="00866A25"/>
    <w:rsid w:val="008712D5"/>
    <w:rsid w:val="00871389"/>
    <w:rsid w:val="00871E64"/>
    <w:rsid w:val="00872779"/>
    <w:rsid w:val="00873137"/>
    <w:rsid w:val="008735DD"/>
    <w:rsid w:val="008743F2"/>
    <w:rsid w:val="008744DE"/>
    <w:rsid w:val="008748E6"/>
    <w:rsid w:val="00875EE6"/>
    <w:rsid w:val="008770CF"/>
    <w:rsid w:val="00877300"/>
    <w:rsid w:val="00881034"/>
    <w:rsid w:val="008815DD"/>
    <w:rsid w:val="00884A95"/>
    <w:rsid w:val="00884EEC"/>
    <w:rsid w:val="008850A2"/>
    <w:rsid w:val="00885230"/>
    <w:rsid w:val="00885EB2"/>
    <w:rsid w:val="00886580"/>
    <w:rsid w:val="0088669C"/>
    <w:rsid w:val="0088737E"/>
    <w:rsid w:val="00890C9B"/>
    <w:rsid w:val="0089201B"/>
    <w:rsid w:val="00892902"/>
    <w:rsid w:val="00892B1A"/>
    <w:rsid w:val="008967E4"/>
    <w:rsid w:val="008979FD"/>
    <w:rsid w:val="008A0488"/>
    <w:rsid w:val="008A10E3"/>
    <w:rsid w:val="008A1ABE"/>
    <w:rsid w:val="008A2043"/>
    <w:rsid w:val="008A26A8"/>
    <w:rsid w:val="008A2A25"/>
    <w:rsid w:val="008A2A40"/>
    <w:rsid w:val="008A45EE"/>
    <w:rsid w:val="008A5D18"/>
    <w:rsid w:val="008A5E0B"/>
    <w:rsid w:val="008A62F0"/>
    <w:rsid w:val="008A6906"/>
    <w:rsid w:val="008A7264"/>
    <w:rsid w:val="008B081A"/>
    <w:rsid w:val="008B103A"/>
    <w:rsid w:val="008B19A6"/>
    <w:rsid w:val="008B22E3"/>
    <w:rsid w:val="008B2870"/>
    <w:rsid w:val="008B2D7B"/>
    <w:rsid w:val="008B4329"/>
    <w:rsid w:val="008B4548"/>
    <w:rsid w:val="008B4B17"/>
    <w:rsid w:val="008B64FB"/>
    <w:rsid w:val="008B6553"/>
    <w:rsid w:val="008B68E7"/>
    <w:rsid w:val="008B6D1A"/>
    <w:rsid w:val="008B7934"/>
    <w:rsid w:val="008C039A"/>
    <w:rsid w:val="008C0C89"/>
    <w:rsid w:val="008C0E60"/>
    <w:rsid w:val="008C2762"/>
    <w:rsid w:val="008C3D36"/>
    <w:rsid w:val="008C4347"/>
    <w:rsid w:val="008C494F"/>
    <w:rsid w:val="008C4D89"/>
    <w:rsid w:val="008C4DE4"/>
    <w:rsid w:val="008C5615"/>
    <w:rsid w:val="008C57D3"/>
    <w:rsid w:val="008C68B5"/>
    <w:rsid w:val="008C7895"/>
    <w:rsid w:val="008D0A33"/>
    <w:rsid w:val="008D0B40"/>
    <w:rsid w:val="008D1B11"/>
    <w:rsid w:val="008D2D83"/>
    <w:rsid w:val="008D7319"/>
    <w:rsid w:val="008E01C9"/>
    <w:rsid w:val="008E0813"/>
    <w:rsid w:val="008E3A19"/>
    <w:rsid w:val="008E3E0D"/>
    <w:rsid w:val="008E46F0"/>
    <w:rsid w:val="008E573F"/>
    <w:rsid w:val="008E5CCA"/>
    <w:rsid w:val="008E5DBB"/>
    <w:rsid w:val="008E61D0"/>
    <w:rsid w:val="008E62E5"/>
    <w:rsid w:val="008E6424"/>
    <w:rsid w:val="008F15FF"/>
    <w:rsid w:val="008F213C"/>
    <w:rsid w:val="008F22E5"/>
    <w:rsid w:val="008F2CC1"/>
    <w:rsid w:val="008F373C"/>
    <w:rsid w:val="008F49A0"/>
    <w:rsid w:val="008F49EC"/>
    <w:rsid w:val="008F4B39"/>
    <w:rsid w:val="008F5354"/>
    <w:rsid w:val="008F5402"/>
    <w:rsid w:val="008F5E6D"/>
    <w:rsid w:val="008F7815"/>
    <w:rsid w:val="008F7AFC"/>
    <w:rsid w:val="0090178D"/>
    <w:rsid w:val="00902510"/>
    <w:rsid w:val="009026D7"/>
    <w:rsid w:val="009076CD"/>
    <w:rsid w:val="00910A9C"/>
    <w:rsid w:val="00911CB2"/>
    <w:rsid w:val="00911D94"/>
    <w:rsid w:val="0091200E"/>
    <w:rsid w:val="0091246E"/>
    <w:rsid w:val="009137A7"/>
    <w:rsid w:val="00913914"/>
    <w:rsid w:val="00914932"/>
    <w:rsid w:val="009154B1"/>
    <w:rsid w:val="0091609B"/>
    <w:rsid w:val="00916601"/>
    <w:rsid w:val="00920861"/>
    <w:rsid w:val="009210E7"/>
    <w:rsid w:val="0092135E"/>
    <w:rsid w:val="0092166A"/>
    <w:rsid w:val="009222F0"/>
    <w:rsid w:val="00922C07"/>
    <w:rsid w:val="009237A1"/>
    <w:rsid w:val="00924596"/>
    <w:rsid w:val="00924EFB"/>
    <w:rsid w:val="00925B42"/>
    <w:rsid w:val="00925E99"/>
    <w:rsid w:val="0093069A"/>
    <w:rsid w:val="009344C6"/>
    <w:rsid w:val="00934E96"/>
    <w:rsid w:val="0093542C"/>
    <w:rsid w:val="0093647C"/>
    <w:rsid w:val="00936511"/>
    <w:rsid w:val="009401AC"/>
    <w:rsid w:val="0094254F"/>
    <w:rsid w:val="009429AB"/>
    <w:rsid w:val="00942C5F"/>
    <w:rsid w:val="00944AF6"/>
    <w:rsid w:val="0094695B"/>
    <w:rsid w:val="0095115C"/>
    <w:rsid w:val="0095282B"/>
    <w:rsid w:val="00954237"/>
    <w:rsid w:val="009549E8"/>
    <w:rsid w:val="00955244"/>
    <w:rsid w:val="0095796C"/>
    <w:rsid w:val="00957E73"/>
    <w:rsid w:val="009608A0"/>
    <w:rsid w:val="00960B57"/>
    <w:rsid w:val="00961444"/>
    <w:rsid w:val="009629F3"/>
    <w:rsid w:val="00964598"/>
    <w:rsid w:val="00965C4E"/>
    <w:rsid w:val="0096684F"/>
    <w:rsid w:val="00966DFE"/>
    <w:rsid w:val="00967A00"/>
    <w:rsid w:val="009705BB"/>
    <w:rsid w:val="00972C87"/>
    <w:rsid w:val="00973C4D"/>
    <w:rsid w:val="009742D2"/>
    <w:rsid w:val="00974353"/>
    <w:rsid w:val="00980652"/>
    <w:rsid w:val="00986129"/>
    <w:rsid w:val="009867F6"/>
    <w:rsid w:val="00987749"/>
    <w:rsid w:val="00987D93"/>
    <w:rsid w:val="009915DD"/>
    <w:rsid w:val="00992D76"/>
    <w:rsid w:val="009940FF"/>
    <w:rsid w:val="009943AB"/>
    <w:rsid w:val="0099498A"/>
    <w:rsid w:val="009950F3"/>
    <w:rsid w:val="00995167"/>
    <w:rsid w:val="009956F2"/>
    <w:rsid w:val="00995F9F"/>
    <w:rsid w:val="009973A9"/>
    <w:rsid w:val="009A0043"/>
    <w:rsid w:val="009A02E6"/>
    <w:rsid w:val="009A1D9A"/>
    <w:rsid w:val="009A1DD0"/>
    <w:rsid w:val="009A2BC3"/>
    <w:rsid w:val="009A51B6"/>
    <w:rsid w:val="009A5655"/>
    <w:rsid w:val="009A5A05"/>
    <w:rsid w:val="009A7C2A"/>
    <w:rsid w:val="009B0B6A"/>
    <w:rsid w:val="009B246E"/>
    <w:rsid w:val="009B4A1F"/>
    <w:rsid w:val="009B4D89"/>
    <w:rsid w:val="009B5B82"/>
    <w:rsid w:val="009C0F2A"/>
    <w:rsid w:val="009C10C3"/>
    <w:rsid w:val="009C14E2"/>
    <w:rsid w:val="009C3E1A"/>
    <w:rsid w:val="009C40BA"/>
    <w:rsid w:val="009C76CC"/>
    <w:rsid w:val="009D1338"/>
    <w:rsid w:val="009D1519"/>
    <w:rsid w:val="009D20E9"/>
    <w:rsid w:val="009D26B4"/>
    <w:rsid w:val="009D2725"/>
    <w:rsid w:val="009D2CBB"/>
    <w:rsid w:val="009D332E"/>
    <w:rsid w:val="009D58C9"/>
    <w:rsid w:val="009D7631"/>
    <w:rsid w:val="009D7B68"/>
    <w:rsid w:val="009E0246"/>
    <w:rsid w:val="009E15EF"/>
    <w:rsid w:val="009E180C"/>
    <w:rsid w:val="009E1CE6"/>
    <w:rsid w:val="009E1D45"/>
    <w:rsid w:val="009E226F"/>
    <w:rsid w:val="009E2BFF"/>
    <w:rsid w:val="009E366A"/>
    <w:rsid w:val="009E3C37"/>
    <w:rsid w:val="009E7B42"/>
    <w:rsid w:val="009F0086"/>
    <w:rsid w:val="009F0C25"/>
    <w:rsid w:val="009F2A1B"/>
    <w:rsid w:val="009F2EAB"/>
    <w:rsid w:val="009F3807"/>
    <w:rsid w:val="009F44AC"/>
    <w:rsid w:val="009F5019"/>
    <w:rsid w:val="009F59EC"/>
    <w:rsid w:val="009F64E8"/>
    <w:rsid w:val="009F65C7"/>
    <w:rsid w:val="009F6994"/>
    <w:rsid w:val="009F72DE"/>
    <w:rsid w:val="009F761D"/>
    <w:rsid w:val="00A00C75"/>
    <w:rsid w:val="00A00FA9"/>
    <w:rsid w:val="00A01CE4"/>
    <w:rsid w:val="00A03AAA"/>
    <w:rsid w:val="00A054D1"/>
    <w:rsid w:val="00A05565"/>
    <w:rsid w:val="00A05A24"/>
    <w:rsid w:val="00A06D84"/>
    <w:rsid w:val="00A07A1B"/>
    <w:rsid w:val="00A11657"/>
    <w:rsid w:val="00A11987"/>
    <w:rsid w:val="00A11D75"/>
    <w:rsid w:val="00A12742"/>
    <w:rsid w:val="00A12966"/>
    <w:rsid w:val="00A13A42"/>
    <w:rsid w:val="00A13FFD"/>
    <w:rsid w:val="00A15574"/>
    <w:rsid w:val="00A17CAC"/>
    <w:rsid w:val="00A20B57"/>
    <w:rsid w:val="00A210F6"/>
    <w:rsid w:val="00A22155"/>
    <w:rsid w:val="00A23DA6"/>
    <w:rsid w:val="00A24163"/>
    <w:rsid w:val="00A3018C"/>
    <w:rsid w:val="00A30830"/>
    <w:rsid w:val="00A31EED"/>
    <w:rsid w:val="00A32E18"/>
    <w:rsid w:val="00A40015"/>
    <w:rsid w:val="00A4391C"/>
    <w:rsid w:val="00A4431E"/>
    <w:rsid w:val="00A443A8"/>
    <w:rsid w:val="00A45F30"/>
    <w:rsid w:val="00A45F8D"/>
    <w:rsid w:val="00A46F23"/>
    <w:rsid w:val="00A47ED8"/>
    <w:rsid w:val="00A50448"/>
    <w:rsid w:val="00A50504"/>
    <w:rsid w:val="00A53D4A"/>
    <w:rsid w:val="00A57142"/>
    <w:rsid w:val="00A60FB9"/>
    <w:rsid w:val="00A618BF"/>
    <w:rsid w:val="00A63D4F"/>
    <w:rsid w:val="00A656F2"/>
    <w:rsid w:val="00A65E75"/>
    <w:rsid w:val="00A67236"/>
    <w:rsid w:val="00A7186B"/>
    <w:rsid w:val="00A71FA8"/>
    <w:rsid w:val="00A73C8E"/>
    <w:rsid w:val="00A74161"/>
    <w:rsid w:val="00A7427B"/>
    <w:rsid w:val="00A74EB3"/>
    <w:rsid w:val="00A753BA"/>
    <w:rsid w:val="00A754ED"/>
    <w:rsid w:val="00A75890"/>
    <w:rsid w:val="00A765FD"/>
    <w:rsid w:val="00A808DC"/>
    <w:rsid w:val="00A82E86"/>
    <w:rsid w:val="00A83631"/>
    <w:rsid w:val="00A86D64"/>
    <w:rsid w:val="00A9000B"/>
    <w:rsid w:val="00A93943"/>
    <w:rsid w:val="00A946A9"/>
    <w:rsid w:val="00A952BA"/>
    <w:rsid w:val="00A95312"/>
    <w:rsid w:val="00A95DEB"/>
    <w:rsid w:val="00A96D4F"/>
    <w:rsid w:val="00A97103"/>
    <w:rsid w:val="00AA0A3E"/>
    <w:rsid w:val="00AA1AEA"/>
    <w:rsid w:val="00AA5DBE"/>
    <w:rsid w:val="00AA6BD4"/>
    <w:rsid w:val="00AA70EA"/>
    <w:rsid w:val="00AA7FE9"/>
    <w:rsid w:val="00AB098D"/>
    <w:rsid w:val="00AB27F9"/>
    <w:rsid w:val="00AB28E9"/>
    <w:rsid w:val="00AB4841"/>
    <w:rsid w:val="00AC0BB7"/>
    <w:rsid w:val="00AC17ED"/>
    <w:rsid w:val="00AC229B"/>
    <w:rsid w:val="00AC35F6"/>
    <w:rsid w:val="00AC3FB4"/>
    <w:rsid w:val="00AC4D16"/>
    <w:rsid w:val="00AC6889"/>
    <w:rsid w:val="00AC690C"/>
    <w:rsid w:val="00AC73C3"/>
    <w:rsid w:val="00AC7EC8"/>
    <w:rsid w:val="00AD0398"/>
    <w:rsid w:val="00AD0458"/>
    <w:rsid w:val="00AD049F"/>
    <w:rsid w:val="00AD061C"/>
    <w:rsid w:val="00AD0B0A"/>
    <w:rsid w:val="00AD2D34"/>
    <w:rsid w:val="00AD3FD7"/>
    <w:rsid w:val="00AD5F7F"/>
    <w:rsid w:val="00AD71DF"/>
    <w:rsid w:val="00AD777B"/>
    <w:rsid w:val="00AD7ACB"/>
    <w:rsid w:val="00AE08EE"/>
    <w:rsid w:val="00AE0C8C"/>
    <w:rsid w:val="00AE2A3C"/>
    <w:rsid w:val="00AE398F"/>
    <w:rsid w:val="00AE4A52"/>
    <w:rsid w:val="00AE4EF7"/>
    <w:rsid w:val="00AE5673"/>
    <w:rsid w:val="00AE66F8"/>
    <w:rsid w:val="00AF0936"/>
    <w:rsid w:val="00AF2104"/>
    <w:rsid w:val="00AF27BF"/>
    <w:rsid w:val="00AF2FD2"/>
    <w:rsid w:val="00B0049B"/>
    <w:rsid w:val="00B00539"/>
    <w:rsid w:val="00B00BC8"/>
    <w:rsid w:val="00B01EAA"/>
    <w:rsid w:val="00B02BFE"/>
    <w:rsid w:val="00B031F7"/>
    <w:rsid w:val="00B033BB"/>
    <w:rsid w:val="00B04692"/>
    <w:rsid w:val="00B04958"/>
    <w:rsid w:val="00B051F0"/>
    <w:rsid w:val="00B05878"/>
    <w:rsid w:val="00B05C05"/>
    <w:rsid w:val="00B07132"/>
    <w:rsid w:val="00B0742B"/>
    <w:rsid w:val="00B11DDC"/>
    <w:rsid w:val="00B13C89"/>
    <w:rsid w:val="00B148E4"/>
    <w:rsid w:val="00B14AD9"/>
    <w:rsid w:val="00B15D26"/>
    <w:rsid w:val="00B16A59"/>
    <w:rsid w:val="00B176C4"/>
    <w:rsid w:val="00B203E5"/>
    <w:rsid w:val="00B206C4"/>
    <w:rsid w:val="00B2081A"/>
    <w:rsid w:val="00B2091E"/>
    <w:rsid w:val="00B21BEE"/>
    <w:rsid w:val="00B258E5"/>
    <w:rsid w:val="00B26BBB"/>
    <w:rsid w:val="00B26E4B"/>
    <w:rsid w:val="00B30A37"/>
    <w:rsid w:val="00B30C24"/>
    <w:rsid w:val="00B3232A"/>
    <w:rsid w:val="00B33A32"/>
    <w:rsid w:val="00B33C57"/>
    <w:rsid w:val="00B355DE"/>
    <w:rsid w:val="00B379C7"/>
    <w:rsid w:val="00B37FEF"/>
    <w:rsid w:val="00B4010A"/>
    <w:rsid w:val="00B40D54"/>
    <w:rsid w:val="00B421E9"/>
    <w:rsid w:val="00B43FEB"/>
    <w:rsid w:val="00B45099"/>
    <w:rsid w:val="00B46C15"/>
    <w:rsid w:val="00B50244"/>
    <w:rsid w:val="00B507A5"/>
    <w:rsid w:val="00B50EDB"/>
    <w:rsid w:val="00B5425E"/>
    <w:rsid w:val="00B55FD3"/>
    <w:rsid w:val="00B62796"/>
    <w:rsid w:val="00B64594"/>
    <w:rsid w:val="00B663C4"/>
    <w:rsid w:val="00B67D04"/>
    <w:rsid w:val="00B70757"/>
    <w:rsid w:val="00B7091F"/>
    <w:rsid w:val="00B72B7E"/>
    <w:rsid w:val="00B72DCD"/>
    <w:rsid w:val="00B734EC"/>
    <w:rsid w:val="00B75663"/>
    <w:rsid w:val="00B77AF0"/>
    <w:rsid w:val="00B80608"/>
    <w:rsid w:val="00B84181"/>
    <w:rsid w:val="00B842F5"/>
    <w:rsid w:val="00B852A8"/>
    <w:rsid w:val="00B8589B"/>
    <w:rsid w:val="00B8655E"/>
    <w:rsid w:val="00B90991"/>
    <w:rsid w:val="00B9201B"/>
    <w:rsid w:val="00B923AD"/>
    <w:rsid w:val="00B9311C"/>
    <w:rsid w:val="00B9339B"/>
    <w:rsid w:val="00B94795"/>
    <w:rsid w:val="00B94A6B"/>
    <w:rsid w:val="00B95E50"/>
    <w:rsid w:val="00B96970"/>
    <w:rsid w:val="00B97961"/>
    <w:rsid w:val="00B97C3A"/>
    <w:rsid w:val="00BA1ACC"/>
    <w:rsid w:val="00BA1BA8"/>
    <w:rsid w:val="00BA2354"/>
    <w:rsid w:val="00BA38DB"/>
    <w:rsid w:val="00BA4FF9"/>
    <w:rsid w:val="00BA5A1F"/>
    <w:rsid w:val="00BA5F49"/>
    <w:rsid w:val="00BA602C"/>
    <w:rsid w:val="00BA784F"/>
    <w:rsid w:val="00BB1126"/>
    <w:rsid w:val="00BB17CA"/>
    <w:rsid w:val="00BB25C4"/>
    <w:rsid w:val="00BB26EF"/>
    <w:rsid w:val="00BB27CC"/>
    <w:rsid w:val="00BB33C9"/>
    <w:rsid w:val="00BB3E55"/>
    <w:rsid w:val="00BB59AA"/>
    <w:rsid w:val="00BC0280"/>
    <w:rsid w:val="00BC1781"/>
    <w:rsid w:val="00BC4180"/>
    <w:rsid w:val="00BC4AE5"/>
    <w:rsid w:val="00BC5554"/>
    <w:rsid w:val="00BC5E24"/>
    <w:rsid w:val="00BD0563"/>
    <w:rsid w:val="00BD16F0"/>
    <w:rsid w:val="00BD1D02"/>
    <w:rsid w:val="00BD1D21"/>
    <w:rsid w:val="00BD35F7"/>
    <w:rsid w:val="00BD546B"/>
    <w:rsid w:val="00BD6814"/>
    <w:rsid w:val="00BD79E5"/>
    <w:rsid w:val="00BD7CDB"/>
    <w:rsid w:val="00BE15EC"/>
    <w:rsid w:val="00BE2953"/>
    <w:rsid w:val="00BE2FD5"/>
    <w:rsid w:val="00BE3880"/>
    <w:rsid w:val="00BE3E43"/>
    <w:rsid w:val="00BE6B81"/>
    <w:rsid w:val="00BF0029"/>
    <w:rsid w:val="00BF032C"/>
    <w:rsid w:val="00BF37C2"/>
    <w:rsid w:val="00BF52A5"/>
    <w:rsid w:val="00BF577E"/>
    <w:rsid w:val="00BF6212"/>
    <w:rsid w:val="00BF7358"/>
    <w:rsid w:val="00BF73FF"/>
    <w:rsid w:val="00C0040B"/>
    <w:rsid w:val="00C008B6"/>
    <w:rsid w:val="00C00C46"/>
    <w:rsid w:val="00C02BFF"/>
    <w:rsid w:val="00C05204"/>
    <w:rsid w:val="00C0581C"/>
    <w:rsid w:val="00C07FB8"/>
    <w:rsid w:val="00C10DD4"/>
    <w:rsid w:val="00C11C3F"/>
    <w:rsid w:val="00C11D0C"/>
    <w:rsid w:val="00C1289F"/>
    <w:rsid w:val="00C13920"/>
    <w:rsid w:val="00C14135"/>
    <w:rsid w:val="00C154DD"/>
    <w:rsid w:val="00C15848"/>
    <w:rsid w:val="00C17CCC"/>
    <w:rsid w:val="00C203CF"/>
    <w:rsid w:val="00C20EBB"/>
    <w:rsid w:val="00C2298B"/>
    <w:rsid w:val="00C23315"/>
    <w:rsid w:val="00C23D74"/>
    <w:rsid w:val="00C23F13"/>
    <w:rsid w:val="00C24A7A"/>
    <w:rsid w:val="00C26731"/>
    <w:rsid w:val="00C26B90"/>
    <w:rsid w:val="00C318F1"/>
    <w:rsid w:val="00C320C1"/>
    <w:rsid w:val="00C333DC"/>
    <w:rsid w:val="00C34040"/>
    <w:rsid w:val="00C3513F"/>
    <w:rsid w:val="00C36E87"/>
    <w:rsid w:val="00C379E8"/>
    <w:rsid w:val="00C414CC"/>
    <w:rsid w:val="00C42037"/>
    <w:rsid w:val="00C423F4"/>
    <w:rsid w:val="00C432F5"/>
    <w:rsid w:val="00C43A03"/>
    <w:rsid w:val="00C43FBD"/>
    <w:rsid w:val="00C46495"/>
    <w:rsid w:val="00C46A9A"/>
    <w:rsid w:val="00C46BF3"/>
    <w:rsid w:val="00C50214"/>
    <w:rsid w:val="00C50C79"/>
    <w:rsid w:val="00C51199"/>
    <w:rsid w:val="00C52A70"/>
    <w:rsid w:val="00C538CC"/>
    <w:rsid w:val="00C544B4"/>
    <w:rsid w:val="00C55258"/>
    <w:rsid w:val="00C56962"/>
    <w:rsid w:val="00C57016"/>
    <w:rsid w:val="00C6024E"/>
    <w:rsid w:val="00C6101C"/>
    <w:rsid w:val="00C62ACD"/>
    <w:rsid w:val="00C64244"/>
    <w:rsid w:val="00C64294"/>
    <w:rsid w:val="00C6446B"/>
    <w:rsid w:val="00C66E28"/>
    <w:rsid w:val="00C67834"/>
    <w:rsid w:val="00C706F3"/>
    <w:rsid w:val="00C72D97"/>
    <w:rsid w:val="00C73699"/>
    <w:rsid w:val="00C73AB1"/>
    <w:rsid w:val="00C7621D"/>
    <w:rsid w:val="00C770A9"/>
    <w:rsid w:val="00C77F8A"/>
    <w:rsid w:val="00C81296"/>
    <w:rsid w:val="00C81AF7"/>
    <w:rsid w:val="00C81B2C"/>
    <w:rsid w:val="00C83D9F"/>
    <w:rsid w:val="00C843D9"/>
    <w:rsid w:val="00C84DD7"/>
    <w:rsid w:val="00C91B00"/>
    <w:rsid w:val="00C9231F"/>
    <w:rsid w:val="00C92690"/>
    <w:rsid w:val="00C92C42"/>
    <w:rsid w:val="00C93157"/>
    <w:rsid w:val="00C9327D"/>
    <w:rsid w:val="00C95511"/>
    <w:rsid w:val="00CA37D6"/>
    <w:rsid w:val="00CA459A"/>
    <w:rsid w:val="00CA5E86"/>
    <w:rsid w:val="00CB117B"/>
    <w:rsid w:val="00CB18E6"/>
    <w:rsid w:val="00CB4F0A"/>
    <w:rsid w:val="00CB7581"/>
    <w:rsid w:val="00CB78F7"/>
    <w:rsid w:val="00CB7C0F"/>
    <w:rsid w:val="00CB7EE6"/>
    <w:rsid w:val="00CB7FB9"/>
    <w:rsid w:val="00CC02E5"/>
    <w:rsid w:val="00CC0DCA"/>
    <w:rsid w:val="00CC3FFC"/>
    <w:rsid w:val="00CC42D3"/>
    <w:rsid w:val="00CC453A"/>
    <w:rsid w:val="00CC4ED9"/>
    <w:rsid w:val="00CC540B"/>
    <w:rsid w:val="00CC63DF"/>
    <w:rsid w:val="00CC6A05"/>
    <w:rsid w:val="00CC6CC7"/>
    <w:rsid w:val="00CC7675"/>
    <w:rsid w:val="00CC7825"/>
    <w:rsid w:val="00CC7FFE"/>
    <w:rsid w:val="00CD3522"/>
    <w:rsid w:val="00CD38F3"/>
    <w:rsid w:val="00CD404B"/>
    <w:rsid w:val="00CD61D8"/>
    <w:rsid w:val="00CD699A"/>
    <w:rsid w:val="00CD6F15"/>
    <w:rsid w:val="00CD741B"/>
    <w:rsid w:val="00CD767A"/>
    <w:rsid w:val="00CD7787"/>
    <w:rsid w:val="00CE3310"/>
    <w:rsid w:val="00CE3BA4"/>
    <w:rsid w:val="00CE3D01"/>
    <w:rsid w:val="00CE426D"/>
    <w:rsid w:val="00CE60A1"/>
    <w:rsid w:val="00CE63BE"/>
    <w:rsid w:val="00CE6798"/>
    <w:rsid w:val="00CE690A"/>
    <w:rsid w:val="00CE7CE2"/>
    <w:rsid w:val="00CF094C"/>
    <w:rsid w:val="00CF16F4"/>
    <w:rsid w:val="00CF19FE"/>
    <w:rsid w:val="00CF1A88"/>
    <w:rsid w:val="00CF2702"/>
    <w:rsid w:val="00CF2C56"/>
    <w:rsid w:val="00CF3B06"/>
    <w:rsid w:val="00CF3FAA"/>
    <w:rsid w:val="00CF4054"/>
    <w:rsid w:val="00CF4E63"/>
    <w:rsid w:val="00CF4EA8"/>
    <w:rsid w:val="00CF5480"/>
    <w:rsid w:val="00CF5FD4"/>
    <w:rsid w:val="00CF69C4"/>
    <w:rsid w:val="00CF6D6D"/>
    <w:rsid w:val="00CF73E9"/>
    <w:rsid w:val="00D001E7"/>
    <w:rsid w:val="00D01B21"/>
    <w:rsid w:val="00D01FEE"/>
    <w:rsid w:val="00D02334"/>
    <w:rsid w:val="00D03A99"/>
    <w:rsid w:val="00D048A5"/>
    <w:rsid w:val="00D05BBC"/>
    <w:rsid w:val="00D07A68"/>
    <w:rsid w:val="00D11558"/>
    <w:rsid w:val="00D13A87"/>
    <w:rsid w:val="00D152A9"/>
    <w:rsid w:val="00D155CF"/>
    <w:rsid w:val="00D156EB"/>
    <w:rsid w:val="00D2133A"/>
    <w:rsid w:val="00D21425"/>
    <w:rsid w:val="00D217E1"/>
    <w:rsid w:val="00D22BA0"/>
    <w:rsid w:val="00D23C1B"/>
    <w:rsid w:val="00D25FE6"/>
    <w:rsid w:val="00D260B5"/>
    <w:rsid w:val="00D261AF"/>
    <w:rsid w:val="00D27F43"/>
    <w:rsid w:val="00D30A84"/>
    <w:rsid w:val="00D31283"/>
    <w:rsid w:val="00D32399"/>
    <w:rsid w:val="00D3277B"/>
    <w:rsid w:val="00D346C9"/>
    <w:rsid w:val="00D35076"/>
    <w:rsid w:val="00D3617B"/>
    <w:rsid w:val="00D363DC"/>
    <w:rsid w:val="00D37B59"/>
    <w:rsid w:val="00D37C89"/>
    <w:rsid w:val="00D40E8E"/>
    <w:rsid w:val="00D42524"/>
    <w:rsid w:val="00D43F76"/>
    <w:rsid w:val="00D453E5"/>
    <w:rsid w:val="00D45A6B"/>
    <w:rsid w:val="00D45C4F"/>
    <w:rsid w:val="00D470A4"/>
    <w:rsid w:val="00D47E60"/>
    <w:rsid w:val="00D51C8D"/>
    <w:rsid w:val="00D52328"/>
    <w:rsid w:val="00D545F8"/>
    <w:rsid w:val="00D55679"/>
    <w:rsid w:val="00D57A23"/>
    <w:rsid w:val="00D60A25"/>
    <w:rsid w:val="00D61289"/>
    <w:rsid w:val="00D619AB"/>
    <w:rsid w:val="00D61CC5"/>
    <w:rsid w:val="00D63411"/>
    <w:rsid w:val="00D65248"/>
    <w:rsid w:val="00D6528F"/>
    <w:rsid w:val="00D666F4"/>
    <w:rsid w:val="00D66D27"/>
    <w:rsid w:val="00D704F4"/>
    <w:rsid w:val="00D70524"/>
    <w:rsid w:val="00D707C0"/>
    <w:rsid w:val="00D710CD"/>
    <w:rsid w:val="00D71D6F"/>
    <w:rsid w:val="00D72029"/>
    <w:rsid w:val="00D7342F"/>
    <w:rsid w:val="00D74258"/>
    <w:rsid w:val="00D745F3"/>
    <w:rsid w:val="00D756B8"/>
    <w:rsid w:val="00D7578E"/>
    <w:rsid w:val="00D77B74"/>
    <w:rsid w:val="00D77F5D"/>
    <w:rsid w:val="00D8198B"/>
    <w:rsid w:val="00D81F46"/>
    <w:rsid w:val="00D83408"/>
    <w:rsid w:val="00D83E3C"/>
    <w:rsid w:val="00D842F4"/>
    <w:rsid w:val="00D843CA"/>
    <w:rsid w:val="00D844B2"/>
    <w:rsid w:val="00D929D7"/>
    <w:rsid w:val="00D938EE"/>
    <w:rsid w:val="00D95E92"/>
    <w:rsid w:val="00D964E9"/>
    <w:rsid w:val="00D973FB"/>
    <w:rsid w:val="00D97D3A"/>
    <w:rsid w:val="00DA0189"/>
    <w:rsid w:val="00DA096D"/>
    <w:rsid w:val="00DA1172"/>
    <w:rsid w:val="00DA215B"/>
    <w:rsid w:val="00DA38D7"/>
    <w:rsid w:val="00DA57D3"/>
    <w:rsid w:val="00DA5AFD"/>
    <w:rsid w:val="00DA7E1A"/>
    <w:rsid w:val="00DB07D3"/>
    <w:rsid w:val="00DB12D4"/>
    <w:rsid w:val="00DB2A3D"/>
    <w:rsid w:val="00DB4142"/>
    <w:rsid w:val="00DB45EA"/>
    <w:rsid w:val="00DB4690"/>
    <w:rsid w:val="00DB4FA1"/>
    <w:rsid w:val="00DB513D"/>
    <w:rsid w:val="00DB5915"/>
    <w:rsid w:val="00DB67E6"/>
    <w:rsid w:val="00DB6B7A"/>
    <w:rsid w:val="00DB762F"/>
    <w:rsid w:val="00DC00C7"/>
    <w:rsid w:val="00DC02D4"/>
    <w:rsid w:val="00DC0961"/>
    <w:rsid w:val="00DC1F8D"/>
    <w:rsid w:val="00DC42AC"/>
    <w:rsid w:val="00DC5A09"/>
    <w:rsid w:val="00DC5DE0"/>
    <w:rsid w:val="00DC6E83"/>
    <w:rsid w:val="00DC7463"/>
    <w:rsid w:val="00DC7AC2"/>
    <w:rsid w:val="00DD3E0C"/>
    <w:rsid w:val="00DD446F"/>
    <w:rsid w:val="00DD49C5"/>
    <w:rsid w:val="00DD49FF"/>
    <w:rsid w:val="00DD55BF"/>
    <w:rsid w:val="00DD5EB0"/>
    <w:rsid w:val="00DD5F80"/>
    <w:rsid w:val="00DE1DA4"/>
    <w:rsid w:val="00DE2A04"/>
    <w:rsid w:val="00DE362B"/>
    <w:rsid w:val="00DE3958"/>
    <w:rsid w:val="00DE5034"/>
    <w:rsid w:val="00DE7C28"/>
    <w:rsid w:val="00DF025A"/>
    <w:rsid w:val="00DF1BDE"/>
    <w:rsid w:val="00DF2304"/>
    <w:rsid w:val="00DF3698"/>
    <w:rsid w:val="00DF4831"/>
    <w:rsid w:val="00DF5EA4"/>
    <w:rsid w:val="00DF5F41"/>
    <w:rsid w:val="00DF6384"/>
    <w:rsid w:val="00DF69A5"/>
    <w:rsid w:val="00DF6D17"/>
    <w:rsid w:val="00E01118"/>
    <w:rsid w:val="00E0375B"/>
    <w:rsid w:val="00E0513A"/>
    <w:rsid w:val="00E06C16"/>
    <w:rsid w:val="00E07D3E"/>
    <w:rsid w:val="00E10583"/>
    <w:rsid w:val="00E10D57"/>
    <w:rsid w:val="00E126CB"/>
    <w:rsid w:val="00E147C1"/>
    <w:rsid w:val="00E150C2"/>
    <w:rsid w:val="00E151A0"/>
    <w:rsid w:val="00E15359"/>
    <w:rsid w:val="00E1649F"/>
    <w:rsid w:val="00E22025"/>
    <w:rsid w:val="00E22203"/>
    <w:rsid w:val="00E228FA"/>
    <w:rsid w:val="00E2399E"/>
    <w:rsid w:val="00E26846"/>
    <w:rsid w:val="00E30A83"/>
    <w:rsid w:val="00E32352"/>
    <w:rsid w:val="00E331C3"/>
    <w:rsid w:val="00E33957"/>
    <w:rsid w:val="00E341D0"/>
    <w:rsid w:val="00E343C3"/>
    <w:rsid w:val="00E34FE8"/>
    <w:rsid w:val="00E35A20"/>
    <w:rsid w:val="00E3620D"/>
    <w:rsid w:val="00E36975"/>
    <w:rsid w:val="00E3757E"/>
    <w:rsid w:val="00E37866"/>
    <w:rsid w:val="00E402C2"/>
    <w:rsid w:val="00E403BA"/>
    <w:rsid w:val="00E4148D"/>
    <w:rsid w:val="00E43292"/>
    <w:rsid w:val="00E43797"/>
    <w:rsid w:val="00E44AED"/>
    <w:rsid w:val="00E44E7D"/>
    <w:rsid w:val="00E45277"/>
    <w:rsid w:val="00E45C14"/>
    <w:rsid w:val="00E46CCA"/>
    <w:rsid w:val="00E47094"/>
    <w:rsid w:val="00E47350"/>
    <w:rsid w:val="00E476D7"/>
    <w:rsid w:val="00E47DF1"/>
    <w:rsid w:val="00E47E28"/>
    <w:rsid w:val="00E5143C"/>
    <w:rsid w:val="00E51C49"/>
    <w:rsid w:val="00E52DAD"/>
    <w:rsid w:val="00E52E64"/>
    <w:rsid w:val="00E532C8"/>
    <w:rsid w:val="00E534BE"/>
    <w:rsid w:val="00E54394"/>
    <w:rsid w:val="00E55821"/>
    <w:rsid w:val="00E56DFF"/>
    <w:rsid w:val="00E577DF"/>
    <w:rsid w:val="00E601F8"/>
    <w:rsid w:val="00E615D7"/>
    <w:rsid w:val="00E617E5"/>
    <w:rsid w:val="00E62C4C"/>
    <w:rsid w:val="00E63F23"/>
    <w:rsid w:val="00E64EE0"/>
    <w:rsid w:val="00E65E59"/>
    <w:rsid w:val="00E6799F"/>
    <w:rsid w:val="00E7000C"/>
    <w:rsid w:val="00E7228D"/>
    <w:rsid w:val="00E72CE5"/>
    <w:rsid w:val="00E73073"/>
    <w:rsid w:val="00E73829"/>
    <w:rsid w:val="00E741AB"/>
    <w:rsid w:val="00E778BB"/>
    <w:rsid w:val="00E77EDC"/>
    <w:rsid w:val="00E80D3E"/>
    <w:rsid w:val="00E84D97"/>
    <w:rsid w:val="00E84E2C"/>
    <w:rsid w:val="00E8623B"/>
    <w:rsid w:val="00E8678A"/>
    <w:rsid w:val="00E86FEF"/>
    <w:rsid w:val="00E872AB"/>
    <w:rsid w:val="00E87A64"/>
    <w:rsid w:val="00E9032F"/>
    <w:rsid w:val="00E91398"/>
    <w:rsid w:val="00E92017"/>
    <w:rsid w:val="00E9300F"/>
    <w:rsid w:val="00E9392F"/>
    <w:rsid w:val="00E93990"/>
    <w:rsid w:val="00E9441D"/>
    <w:rsid w:val="00E944DC"/>
    <w:rsid w:val="00E956C1"/>
    <w:rsid w:val="00E95756"/>
    <w:rsid w:val="00E974A6"/>
    <w:rsid w:val="00E97FFD"/>
    <w:rsid w:val="00EA00A6"/>
    <w:rsid w:val="00EA036E"/>
    <w:rsid w:val="00EA05CC"/>
    <w:rsid w:val="00EA0977"/>
    <w:rsid w:val="00EA2B30"/>
    <w:rsid w:val="00EA2E82"/>
    <w:rsid w:val="00EA3689"/>
    <w:rsid w:val="00EA38AF"/>
    <w:rsid w:val="00EA3936"/>
    <w:rsid w:val="00EA4F0A"/>
    <w:rsid w:val="00EA5329"/>
    <w:rsid w:val="00EA53E2"/>
    <w:rsid w:val="00EA6181"/>
    <w:rsid w:val="00EA7A97"/>
    <w:rsid w:val="00EA7D01"/>
    <w:rsid w:val="00EA7F94"/>
    <w:rsid w:val="00EB0A19"/>
    <w:rsid w:val="00EB0A6B"/>
    <w:rsid w:val="00EB1522"/>
    <w:rsid w:val="00EB16C0"/>
    <w:rsid w:val="00EB20E7"/>
    <w:rsid w:val="00EB2B09"/>
    <w:rsid w:val="00EB2C3E"/>
    <w:rsid w:val="00EC41E0"/>
    <w:rsid w:val="00EC55E6"/>
    <w:rsid w:val="00EC635A"/>
    <w:rsid w:val="00EC6795"/>
    <w:rsid w:val="00EC73FF"/>
    <w:rsid w:val="00EC798F"/>
    <w:rsid w:val="00EC7D0B"/>
    <w:rsid w:val="00EC7DF7"/>
    <w:rsid w:val="00ED0D64"/>
    <w:rsid w:val="00ED1755"/>
    <w:rsid w:val="00ED295F"/>
    <w:rsid w:val="00ED2D80"/>
    <w:rsid w:val="00ED2E73"/>
    <w:rsid w:val="00ED3486"/>
    <w:rsid w:val="00ED4AEB"/>
    <w:rsid w:val="00ED60EC"/>
    <w:rsid w:val="00ED6E43"/>
    <w:rsid w:val="00EE0E30"/>
    <w:rsid w:val="00EE1601"/>
    <w:rsid w:val="00EE23F9"/>
    <w:rsid w:val="00EE2EF8"/>
    <w:rsid w:val="00EE38FF"/>
    <w:rsid w:val="00EE3963"/>
    <w:rsid w:val="00EE3A19"/>
    <w:rsid w:val="00EE3BE2"/>
    <w:rsid w:val="00EE524C"/>
    <w:rsid w:val="00EE573C"/>
    <w:rsid w:val="00EE7A91"/>
    <w:rsid w:val="00EF3004"/>
    <w:rsid w:val="00EF38A8"/>
    <w:rsid w:val="00EF394B"/>
    <w:rsid w:val="00EF41B3"/>
    <w:rsid w:val="00EF65B7"/>
    <w:rsid w:val="00EF6A12"/>
    <w:rsid w:val="00EF6D72"/>
    <w:rsid w:val="00EF75C6"/>
    <w:rsid w:val="00F00953"/>
    <w:rsid w:val="00F01455"/>
    <w:rsid w:val="00F014D9"/>
    <w:rsid w:val="00F02B9D"/>
    <w:rsid w:val="00F05CE8"/>
    <w:rsid w:val="00F05EFE"/>
    <w:rsid w:val="00F070CD"/>
    <w:rsid w:val="00F105AC"/>
    <w:rsid w:val="00F11A8D"/>
    <w:rsid w:val="00F124DC"/>
    <w:rsid w:val="00F12A47"/>
    <w:rsid w:val="00F14628"/>
    <w:rsid w:val="00F14633"/>
    <w:rsid w:val="00F14F69"/>
    <w:rsid w:val="00F151B3"/>
    <w:rsid w:val="00F16266"/>
    <w:rsid w:val="00F167B5"/>
    <w:rsid w:val="00F17D76"/>
    <w:rsid w:val="00F2021C"/>
    <w:rsid w:val="00F20877"/>
    <w:rsid w:val="00F20C1F"/>
    <w:rsid w:val="00F22C25"/>
    <w:rsid w:val="00F230F2"/>
    <w:rsid w:val="00F2316C"/>
    <w:rsid w:val="00F23488"/>
    <w:rsid w:val="00F24CD9"/>
    <w:rsid w:val="00F2588C"/>
    <w:rsid w:val="00F2591F"/>
    <w:rsid w:val="00F25C70"/>
    <w:rsid w:val="00F26305"/>
    <w:rsid w:val="00F26590"/>
    <w:rsid w:val="00F26A43"/>
    <w:rsid w:val="00F30089"/>
    <w:rsid w:val="00F31E30"/>
    <w:rsid w:val="00F32BD2"/>
    <w:rsid w:val="00F331A0"/>
    <w:rsid w:val="00F403D3"/>
    <w:rsid w:val="00F41551"/>
    <w:rsid w:val="00F440B9"/>
    <w:rsid w:val="00F456EB"/>
    <w:rsid w:val="00F471BB"/>
    <w:rsid w:val="00F5089E"/>
    <w:rsid w:val="00F51A80"/>
    <w:rsid w:val="00F53402"/>
    <w:rsid w:val="00F53E97"/>
    <w:rsid w:val="00F55653"/>
    <w:rsid w:val="00F557CB"/>
    <w:rsid w:val="00F5608A"/>
    <w:rsid w:val="00F573B5"/>
    <w:rsid w:val="00F60AF5"/>
    <w:rsid w:val="00F63E87"/>
    <w:rsid w:val="00F6448D"/>
    <w:rsid w:val="00F648B5"/>
    <w:rsid w:val="00F648CC"/>
    <w:rsid w:val="00F6589D"/>
    <w:rsid w:val="00F65E38"/>
    <w:rsid w:val="00F66106"/>
    <w:rsid w:val="00F66D96"/>
    <w:rsid w:val="00F6711D"/>
    <w:rsid w:val="00F671DB"/>
    <w:rsid w:val="00F7036F"/>
    <w:rsid w:val="00F724E8"/>
    <w:rsid w:val="00F734F1"/>
    <w:rsid w:val="00F74772"/>
    <w:rsid w:val="00F76856"/>
    <w:rsid w:val="00F77208"/>
    <w:rsid w:val="00F77AE5"/>
    <w:rsid w:val="00F77D9C"/>
    <w:rsid w:val="00F8070D"/>
    <w:rsid w:val="00F80CD5"/>
    <w:rsid w:val="00F8218D"/>
    <w:rsid w:val="00F82F4D"/>
    <w:rsid w:val="00F83FF1"/>
    <w:rsid w:val="00F90007"/>
    <w:rsid w:val="00F90D5C"/>
    <w:rsid w:val="00F94F7D"/>
    <w:rsid w:val="00F95105"/>
    <w:rsid w:val="00F954BB"/>
    <w:rsid w:val="00F96046"/>
    <w:rsid w:val="00F964DA"/>
    <w:rsid w:val="00F96F5D"/>
    <w:rsid w:val="00F973B0"/>
    <w:rsid w:val="00F977C8"/>
    <w:rsid w:val="00F97BA4"/>
    <w:rsid w:val="00FA1039"/>
    <w:rsid w:val="00FA137B"/>
    <w:rsid w:val="00FA2873"/>
    <w:rsid w:val="00FA2D7A"/>
    <w:rsid w:val="00FA37A8"/>
    <w:rsid w:val="00FA3B88"/>
    <w:rsid w:val="00FA4FC2"/>
    <w:rsid w:val="00FA64BA"/>
    <w:rsid w:val="00FA7AF9"/>
    <w:rsid w:val="00FB0A73"/>
    <w:rsid w:val="00FB1185"/>
    <w:rsid w:val="00FB1516"/>
    <w:rsid w:val="00FB16AB"/>
    <w:rsid w:val="00FB4007"/>
    <w:rsid w:val="00FB48B9"/>
    <w:rsid w:val="00FB4BA1"/>
    <w:rsid w:val="00FB793C"/>
    <w:rsid w:val="00FC08BA"/>
    <w:rsid w:val="00FC11E0"/>
    <w:rsid w:val="00FC5344"/>
    <w:rsid w:val="00FC58AE"/>
    <w:rsid w:val="00FD010D"/>
    <w:rsid w:val="00FD1FB9"/>
    <w:rsid w:val="00FD21CA"/>
    <w:rsid w:val="00FD2545"/>
    <w:rsid w:val="00FD37D0"/>
    <w:rsid w:val="00FD3D48"/>
    <w:rsid w:val="00FD424D"/>
    <w:rsid w:val="00FD47B2"/>
    <w:rsid w:val="00FD4DFB"/>
    <w:rsid w:val="00FD61D1"/>
    <w:rsid w:val="00FD634A"/>
    <w:rsid w:val="00FD6674"/>
    <w:rsid w:val="00FD6DE5"/>
    <w:rsid w:val="00FE1B97"/>
    <w:rsid w:val="00FE2A0E"/>
    <w:rsid w:val="00FE304D"/>
    <w:rsid w:val="00FE3C24"/>
    <w:rsid w:val="00FE3DBE"/>
    <w:rsid w:val="00FE508D"/>
    <w:rsid w:val="00FE638A"/>
    <w:rsid w:val="00FF1CBA"/>
    <w:rsid w:val="00FF2AF3"/>
    <w:rsid w:val="00FF384D"/>
    <w:rsid w:val="00FF5447"/>
    <w:rsid w:val="00FF6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1D77A10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8136E9"/>
    <w:pPr>
      <w:spacing w:after="120" w:line="360" w:lineRule="auto"/>
    </w:pPr>
    <w:rPr>
      <w:rFonts w:asciiTheme="minorHAnsi" w:hAnsiTheme="minorHAnsi" w:cs="Arial"/>
      <w:sz w:val="22"/>
      <w:szCs w:val="24"/>
      <w:lang w:eastAsia="en-US"/>
    </w:rPr>
  </w:style>
  <w:style w:type="paragraph" w:styleId="Heading1">
    <w:name w:val="heading 1"/>
    <w:basedOn w:val="Normal"/>
    <w:next w:val="Normal"/>
    <w:link w:val="Heading1Char"/>
    <w:autoRedefine/>
    <w:uiPriority w:val="9"/>
    <w:qFormat/>
    <w:rsid w:val="00855722"/>
    <w:pPr>
      <w:keepNext/>
      <w:keepLines/>
      <w:spacing w:before="240" w:after="60"/>
      <w:outlineLvl w:val="0"/>
    </w:pPr>
    <w:rPr>
      <w:rFonts w:eastAsiaTheme="minorHAnsi" w:cs="Helvetica"/>
      <w:b/>
      <w:color w:val="17365D" w:themeColor="text2" w:themeShade="BF"/>
      <w:sz w:val="40"/>
      <w:szCs w:val="22"/>
      <w:lang w:eastAsia="en-AU"/>
    </w:rPr>
  </w:style>
  <w:style w:type="paragraph" w:styleId="Heading2">
    <w:name w:val="heading 2"/>
    <w:basedOn w:val="Normal"/>
    <w:next w:val="Normal"/>
    <w:link w:val="Heading2Char"/>
    <w:autoRedefine/>
    <w:uiPriority w:val="9"/>
    <w:qFormat/>
    <w:rsid w:val="0055136D"/>
    <w:pPr>
      <w:keepNext/>
      <w:keepLines/>
      <w:numPr>
        <w:ilvl w:val="2"/>
      </w:numPr>
      <w:spacing w:line="312" w:lineRule="auto"/>
      <w:outlineLvl w:val="1"/>
    </w:pPr>
    <w:rPr>
      <w:rFonts w:eastAsia="Calibri" w:cstheme="minorHAnsi"/>
      <w:b/>
      <w:szCs w:val="22"/>
      <w:lang w:eastAsia="en-AU"/>
    </w:rPr>
  </w:style>
  <w:style w:type="paragraph" w:styleId="Heading3">
    <w:name w:val="heading 3"/>
    <w:basedOn w:val="Heading2"/>
    <w:next w:val="Normal"/>
    <w:link w:val="Heading3Char"/>
    <w:autoRedefine/>
    <w:uiPriority w:val="9"/>
    <w:qFormat/>
    <w:rsid w:val="00F74772"/>
    <w:pPr>
      <w:outlineLvl w:val="2"/>
    </w:pPr>
  </w:style>
  <w:style w:type="paragraph" w:styleId="Heading4">
    <w:name w:val="heading 4"/>
    <w:basedOn w:val="Heading3"/>
    <w:next w:val="Normal"/>
    <w:link w:val="Heading4Char"/>
    <w:uiPriority w:val="9"/>
    <w:qFormat/>
    <w:rsid w:val="00105CEF"/>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55722"/>
    <w:rPr>
      <w:rFonts w:asciiTheme="minorHAnsi" w:eastAsiaTheme="minorHAnsi" w:hAnsiTheme="minorHAnsi" w:cs="Helvetica"/>
      <w:b/>
      <w:color w:val="17365D" w:themeColor="text2" w:themeShade="BF"/>
      <w:sz w:val="40"/>
      <w:szCs w:val="22"/>
    </w:rPr>
  </w:style>
  <w:style w:type="character" w:customStyle="1" w:styleId="Heading2Char">
    <w:name w:val="Heading 2 Char"/>
    <w:basedOn w:val="DefaultParagraphFont"/>
    <w:link w:val="Heading2"/>
    <w:uiPriority w:val="9"/>
    <w:locked/>
    <w:rsid w:val="0055136D"/>
    <w:rPr>
      <w:rFonts w:asciiTheme="minorHAnsi" w:eastAsia="Calibri" w:hAnsiTheme="minorHAnsi" w:cstheme="minorHAnsi"/>
      <w:b/>
      <w:sz w:val="22"/>
      <w:szCs w:val="22"/>
    </w:rPr>
  </w:style>
  <w:style w:type="character" w:customStyle="1" w:styleId="Heading3Char">
    <w:name w:val="Heading 3 Char"/>
    <w:basedOn w:val="DefaultParagraphFont"/>
    <w:link w:val="Heading3"/>
    <w:uiPriority w:val="9"/>
    <w:locked/>
    <w:rsid w:val="00F74772"/>
    <w:rPr>
      <w:rFonts w:asciiTheme="minorHAnsi" w:eastAsia="Calibri" w:hAnsiTheme="minorHAnsi" w:cstheme="minorHAnsi"/>
      <w:b/>
      <w:sz w:val="22"/>
      <w:szCs w:val="22"/>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2735ED"/>
    <w:pPr>
      <w:tabs>
        <w:tab w:val="left" w:pos="1560"/>
        <w:tab w:val="right" w:leader="dot" w:pos="8789"/>
      </w:tabs>
      <w:spacing w:before="120"/>
      <w:ind w:left="851" w:right="814"/>
    </w:pPr>
    <w:rPr>
      <w:spacing w:val="-4"/>
    </w:rPr>
  </w:style>
  <w:style w:type="paragraph" w:styleId="TOC2">
    <w:name w:val="toc 2"/>
    <w:basedOn w:val="Normal"/>
    <w:autoRedefine/>
    <w:uiPriority w:val="39"/>
    <w:rsid w:val="00FC58AE"/>
    <w:pPr>
      <w:tabs>
        <w:tab w:val="left" w:pos="1701"/>
        <w:tab w:val="right" w:leader="dot" w:pos="8789"/>
      </w:tabs>
      <w:ind w:left="851"/>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3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qFormat/>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057AE4"/>
    <w:pPr>
      <w:ind w:left="720"/>
      <w:contextualSpacing/>
    </w:pPr>
  </w:style>
  <w:style w:type="paragraph" w:styleId="FootnoteText">
    <w:name w:val="footnote text"/>
    <w:basedOn w:val="Normal"/>
    <w:link w:val="FootnoteTextChar"/>
    <w:rsid w:val="007B16EE"/>
  </w:style>
  <w:style w:type="character" w:customStyle="1" w:styleId="FootnoteTextChar">
    <w:name w:val="Footnote Text Char"/>
    <w:basedOn w:val="DefaultParagraphFont"/>
    <w:link w:val="FootnoteText"/>
    <w:locked/>
    <w:rsid w:val="007B16EE"/>
    <w:rPr>
      <w:rFonts w:ascii="Arial" w:hAnsi="Arial" w:cs="Times New Roman"/>
      <w:lang w:val="x-none" w:eastAsia="en-US"/>
    </w:rPr>
  </w:style>
  <w:style w:type="character" w:styleId="FootnoteReference">
    <w:name w:val="footnote reference"/>
    <w:basedOn w:val="DefaultParagraphFont"/>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eastAsiaTheme="minorHAnsi" w:hAnsi="Arial" w:cs="Arial"/>
      <w:b/>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eastAsiaTheme="minorHAnsi" w:hAnsi="Arial" w:cs="Arial"/>
      <w:b/>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eastAsiaTheme="minorHAnsi" w:hAnsi="Helvetica" w:cs="Arial"/>
      <w:b/>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602CBE"/>
    <w:pPr>
      <w:framePr w:w="4820" w:wrap="around" w:vAnchor="page" w:hAnchor="text" w:x="5388" w:y="795"/>
      <w:spacing w:before="4440" w:after="2400" w:line="480" w:lineRule="auto"/>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F124DC"/>
    <w:pPr>
      <w:framePr w:w="0" w:wrap="auto" w:vAnchor="margin" w:xAlign="left" w:yAlign="inline"/>
      <w:spacing w:before="113" w:after="57" w:line="400" w:lineRule="exact"/>
    </w:pPr>
    <w:rPr>
      <w:color w:val="auto"/>
      <w:sz w:val="36"/>
    </w:rPr>
  </w:style>
  <w:style w:type="paragraph" w:customStyle="1" w:styleId="Bullet">
    <w:name w:val="Bullet"/>
    <w:basedOn w:val="Normal"/>
    <w:autoRedefine/>
    <w:qFormat/>
    <w:rsid w:val="00153566"/>
    <w:pPr>
      <w:numPr>
        <w:numId w:val="46"/>
      </w:numPr>
      <w:spacing w:before="120"/>
    </w:pPr>
    <w:rPr>
      <w:rFonts w:eastAsiaTheme="minorHAnsi" w:cs="Times New Roman"/>
      <w:szCs w:val="22"/>
    </w:rPr>
  </w:style>
  <w:style w:type="paragraph" w:customStyle="1" w:styleId="Calloutbox">
    <w:name w:val="Callout box"/>
    <w:basedOn w:val="Normal"/>
    <w:next w:val="Normal"/>
    <w:link w:val="CalloutboxChar"/>
    <w:autoRedefine/>
    <w:qFormat/>
    <w:rsid w:val="00357D51"/>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qFormat/>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qFormat/>
    <w:rsid w:val="00CF3B06"/>
    <w:rPr>
      <w:b/>
      <w:bCs/>
    </w:rPr>
  </w:style>
  <w:style w:type="paragraph" w:styleId="Subtitle">
    <w:name w:val="Subtitle"/>
    <w:basedOn w:val="Normal"/>
    <w:next w:val="Normal"/>
    <w:link w:val="SubtitleChar"/>
    <w:uiPriority w:val="11"/>
    <w:qFormat/>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1E405A"/>
    <w:rPr>
      <w:b/>
      <w:sz w:val="24"/>
    </w:rPr>
  </w:style>
  <w:style w:type="character" w:customStyle="1" w:styleId="CalloutboxChar">
    <w:name w:val="Callout box Char"/>
    <w:basedOn w:val="DefaultParagraphFont"/>
    <w:link w:val="Calloutbox"/>
    <w:rsid w:val="00357D51"/>
    <w:rPr>
      <w:rFonts w:asciiTheme="minorHAnsi" w:eastAsiaTheme="minorHAnsi" w:hAnsiTheme="minorHAnsi"/>
      <w:sz w:val="22"/>
      <w:szCs w:val="22"/>
      <w:shd w:val="clear" w:color="auto" w:fill="DDDDDD"/>
      <w:lang w:eastAsia="en-US"/>
    </w:rPr>
  </w:style>
  <w:style w:type="character" w:customStyle="1" w:styleId="CalloutBoxHeadingChar">
    <w:name w:val="Callout Box Heading Char"/>
    <w:basedOn w:val="CalloutboxChar"/>
    <w:link w:val="CalloutBoxHeading"/>
    <w:rsid w:val="001E405A"/>
    <w:rPr>
      <w:rFonts w:asciiTheme="minorHAnsi" w:eastAsiaTheme="minorHAnsi" w:hAnsiTheme="minorHAnsi"/>
      <w:b/>
      <w:sz w:val="24"/>
      <w:szCs w:val="22"/>
      <w:shd w:val="clear" w:color="auto" w:fill="DDDDDD"/>
      <w:lang w:eastAsia="en-US"/>
    </w:rPr>
  </w:style>
  <w:style w:type="paragraph" w:customStyle="1" w:styleId="Calloutbox1">
    <w:name w:val="Callout box1"/>
    <w:basedOn w:val="Normal"/>
    <w:next w:val="Normal"/>
    <w:autoRedefine/>
    <w:qFormat/>
    <w:rsid w:val="002961C7"/>
    <w:pPr>
      <w:pBdr>
        <w:top w:val="single" w:sz="48" w:space="3" w:color="33C1D7"/>
        <w:left w:val="single" w:sz="48" w:space="8" w:color="33C1D7"/>
        <w:bottom w:val="single" w:sz="48" w:space="6" w:color="33C1D7"/>
        <w:right w:val="single" w:sz="48" w:space="8" w:color="33C1D7"/>
      </w:pBdr>
      <w:ind w:left="357" w:right="284"/>
    </w:pPr>
    <w:rPr>
      <w:rFonts w:eastAsiaTheme="minorHAnsi" w:cs="Times New Roman"/>
      <w:b/>
      <w:szCs w:val="20"/>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paragraph" w:customStyle="1" w:styleId="Style1KIN">
    <w:name w:val="Style1KIN"/>
    <w:link w:val="Style1KINChar"/>
    <w:qFormat/>
    <w:rsid w:val="007E3577"/>
    <w:pPr>
      <w:spacing w:before="120" w:line="360" w:lineRule="auto"/>
    </w:pPr>
    <w:rPr>
      <w:rFonts w:asciiTheme="minorHAnsi" w:eastAsiaTheme="minorEastAsia" w:hAnsiTheme="minorHAnsi"/>
      <w:bCs/>
      <w:color w:val="31849B" w:themeColor="accent5" w:themeShade="BF"/>
      <w:sz w:val="24"/>
      <w:szCs w:val="28"/>
      <w:lang w:val="x-none" w:eastAsia="en-US"/>
    </w:rPr>
  </w:style>
  <w:style w:type="character" w:customStyle="1" w:styleId="Style1KINChar">
    <w:name w:val="Style1KIN Char"/>
    <w:basedOn w:val="Heading4Char"/>
    <w:link w:val="Style1KIN"/>
    <w:rsid w:val="007E3577"/>
    <w:rPr>
      <w:rFonts w:asciiTheme="minorHAnsi" w:eastAsiaTheme="minorEastAsia" w:hAnsiTheme="minorHAnsi" w:cs="Times New Roman"/>
      <w:b w:val="0"/>
      <w:bCs/>
      <w:color w:val="31849B" w:themeColor="accent5" w:themeShade="BF"/>
      <w:sz w:val="24"/>
      <w:szCs w:val="28"/>
      <w:lang w:val="x-none" w:eastAsia="en-US"/>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basedOn w:val="DefaultParagraphFont"/>
    <w:link w:val="ListParagraph"/>
    <w:uiPriority w:val="34"/>
    <w:locked/>
    <w:rsid w:val="004C0B44"/>
    <w:rPr>
      <w:rFonts w:asciiTheme="minorHAnsi" w:hAnsiTheme="minorHAnsi" w:cs="Arial"/>
      <w:sz w:val="22"/>
      <w:szCs w:val="24"/>
      <w:lang w:eastAsia="en-US"/>
    </w:rPr>
  </w:style>
  <w:style w:type="character" w:styleId="FollowedHyperlink">
    <w:name w:val="FollowedHyperlink"/>
    <w:basedOn w:val="DefaultParagraphFont"/>
    <w:semiHidden/>
    <w:unhideWhenUsed/>
    <w:rsid w:val="00673F9A"/>
    <w:rPr>
      <w:color w:val="800080" w:themeColor="followedHyperlink"/>
      <w:u w:val="single"/>
    </w:rPr>
  </w:style>
  <w:style w:type="paragraph" w:customStyle="1" w:styleId="CM17">
    <w:name w:val="CM17"/>
    <w:basedOn w:val="Normal"/>
    <w:next w:val="Normal"/>
    <w:uiPriority w:val="99"/>
    <w:rsid w:val="009026D7"/>
    <w:pPr>
      <w:autoSpaceDE w:val="0"/>
      <w:autoSpaceDN w:val="0"/>
      <w:adjustRightInd w:val="0"/>
      <w:spacing w:after="0" w:line="240" w:lineRule="auto"/>
    </w:pPr>
    <w:rPr>
      <w:rFonts w:ascii="Arial" w:hAnsi="Arial"/>
      <w:sz w:val="24"/>
      <w:lang w:eastAsia="en-AU"/>
    </w:rPr>
  </w:style>
  <w:style w:type="paragraph" w:customStyle="1" w:styleId="CM15">
    <w:name w:val="CM15"/>
    <w:basedOn w:val="Normal"/>
    <w:next w:val="Normal"/>
    <w:uiPriority w:val="99"/>
    <w:rsid w:val="009026D7"/>
    <w:pPr>
      <w:autoSpaceDE w:val="0"/>
      <w:autoSpaceDN w:val="0"/>
      <w:adjustRightInd w:val="0"/>
      <w:spacing w:after="0" w:line="240" w:lineRule="auto"/>
    </w:pPr>
    <w:rPr>
      <w:rFonts w:ascii="Arial" w:hAnsi="Arial"/>
      <w:sz w:val="24"/>
      <w:lang w:eastAsia="en-AU"/>
    </w:rPr>
  </w:style>
  <w:style w:type="paragraph" w:styleId="NormalWeb">
    <w:name w:val="Normal (Web)"/>
    <w:basedOn w:val="Normal"/>
    <w:uiPriority w:val="99"/>
    <w:unhideWhenUsed/>
    <w:rsid w:val="009026D7"/>
    <w:pPr>
      <w:spacing w:before="100" w:beforeAutospacing="1" w:after="100" w:afterAutospacing="1" w:line="240" w:lineRule="auto"/>
    </w:pPr>
    <w:rPr>
      <w:rFonts w:ascii="Times New Roman" w:hAnsi="Times New Roman" w:cs="Times New Roman"/>
      <w:sz w:val="24"/>
      <w:lang w:eastAsia="en-AU"/>
    </w:rPr>
  </w:style>
  <w:style w:type="paragraph" w:styleId="Revision">
    <w:name w:val="Revision"/>
    <w:hidden/>
    <w:uiPriority w:val="99"/>
    <w:semiHidden/>
    <w:rsid w:val="00916601"/>
    <w:rPr>
      <w:rFonts w:asciiTheme="minorHAnsi" w:hAnsiTheme="minorHAnsi" w:cs="Arial"/>
      <w:sz w:val="22"/>
      <w:szCs w:val="24"/>
      <w:lang w:eastAsia="en-US"/>
    </w:rPr>
  </w:style>
  <w:style w:type="paragraph" w:customStyle="1" w:styleId="Footnotes">
    <w:name w:val="Footnotes"/>
    <w:basedOn w:val="FootnoteText"/>
    <w:qFormat/>
    <w:rsid w:val="00D756B8"/>
    <w:pPr>
      <w:spacing w:after="0" w:line="240" w:lineRule="auto"/>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6621">
      <w:bodyDiv w:val="1"/>
      <w:marLeft w:val="0"/>
      <w:marRight w:val="0"/>
      <w:marTop w:val="0"/>
      <w:marBottom w:val="0"/>
      <w:divBdr>
        <w:top w:val="none" w:sz="0" w:space="0" w:color="auto"/>
        <w:left w:val="none" w:sz="0" w:space="0" w:color="auto"/>
        <w:bottom w:val="none" w:sz="0" w:space="0" w:color="auto"/>
        <w:right w:val="none" w:sz="0" w:space="0" w:color="auto"/>
      </w:divBdr>
    </w:div>
    <w:div w:id="206381987">
      <w:bodyDiv w:val="1"/>
      <w:marLeft w:val="0"/>
      <w:marRight w:val="0"/>
      <w:marTop w:val="0"/>
      <w:marBottom w:val="0"/>
      <w:divBdr>
        <w:top w:val="none" w:sz="0" w:space="0" w:color="auto"/>
        <w:left w:val="none" w:sz="0" w:space="0" w:color="auto"/>
        <w:bottom w:val="none" w:sz="0" w:space="0" w:color="auto"/>
        <w:right w:val="none" w:sz="0" w:space="0" w:color="auto"/>
      </w:divBdr>
    </w:div>
    <w:div w:id="225142751">
      <w:bodyDiv w:val="1"/>
      <w:marLeft w:val="0"/>
      <w:marRight w:val="0"/>
      <w:marTop w:val="0"/>
      <w:marBottom w:val="0"/>
      <w:divBdr>
        <w:top w:val="none" w:sz="0" w:space="0" w:color="auto"/>
        <w:left w:val="none" w:sz="0" w:space="0" w:color="auto"/>
        <w:bottom w:val="none" w:sz="0" w:space="0" w:color="auto"/>
        <w:right w:val="none" w:sz="0" w:space="0" w:color="auto"/>
      </w:divBdr>
    </w:div>
    <w:div w:id="233511019">
      <w:bodyDiv w:val="1"/>
      <w:marLeft w:val="0"/>
      <w:marRight w:val="0"/>
      <w:marTop w:val="0"/>
      <w:marBottom w:val="0"/>
      <w:divBdr>
        <w:top w:val="none" w:sz="0" w:space="0" w:color="auto"/>
        <w:left w:val="none" w:sz="0" w:space="0" w:color="auto"/>
        <w:bottom w:val="none" w:sz="0" w:space="0" w:color="auto"/>
        <w:right w:val="none" w:sz="0" w:space="0" w:color="auto"/>
      </w:divBdr>
    </w:div>
    <w:div w:id="302077201">
      <w:bodyDiv w:val="1"/>
      <w:marLeft w:val="0"/>
      <w:marRight w:val="0"/>
      <w:marTop w:val="0"/>
      <w:marBottom w:val="0"/>
      <w:divBdr>
        <w:top w:val="none" w:sz="0" w:space="0" w:color="auto"/>
        <w:left w:val="none" w:sz="0" w:space="0" w:color="auto"/>
        <w:bottom w:val="none" w:sz="0" w:space="0" w:color="auto"/>
        <w:right w:val="none" w:sz="0" w:space="0" w:color="auto"/>
      </w:divBdr>
    </w:div>
    <w:div w:id="310528803">
      <w:bodyDiv w:val="1"/>
      <w:marLeft w:val="0"/>
      <w:marRight w:val="0"/>
      <w:marTop w:val="0"/>
      <w:marBottom w:val="0"/>
      <w:divBdr>
        <w:top w:val="none" w:sz="0" w:space="0" w:color="auto"/>
        <w:left w:val="none" w:sz="0" w:space="0" w:color="auto"/>
        <w:bottom w:val="none" w:sz="0" w:space="0" w:color="auto"/>
        <w:right w:val="none" w:sz="0" w:space="0" w:color="auto"/>
      </w:divBdr>
    </w:div>
    <w:div w:id="372965841">
      <w:bodyDiv w:val="1"/>
      <w:marLeft w:val="0"/>
      <w:marRight w:val="0"/>
      <w:marTop w:val="0"/>
      <w:marBottom w:val="0"/>
      <w:divBdr>
        <w:top w:val="none" w:sz="0" w:space="0" w:color="auto"/>
        <w:left w:val="none" w:sz="0" w:space="0" w:color="auto"/>
        <w:bottom w:val="none" w:sz="0" w:space="0" w:color="auto"/>
        <w:right w:val="none" w:sz="0" w:space="0" w:color="auto"/>
      </w:divBdr>
    </w:div>
    <w:div w:id="414980581">
      <w:bodyDiv w:val="1"/>
      <w:marLeft w:val="0"/>
      <w:marRight w:val="0"/>
      <w:marTop w:val="0"/>
      <w:marBottom w:val="0"/>
      <w:divBdr>
        <w:top w:val="none" w:sz="0" w:space="0" w:color="auto"/>
        <w:left w:val="none" w:sz="0" w:space="0" w:color="auto"/>
        <w:bottom w:val="none" w:sz="0" w:space="0" w:color="auto"/>
        <w:right w:val="none" w:sz="0" w:space="0" w:color="auto"/>
      </w:divBdr>
    </w:div>
    <w:div w:id="551503240">
      <w:bodyDiv w:val="1"/>
      <w:marLeft w:val="0"/>
      <w:marRight w:val="0"/>
      <w:marTop w:val="0"/>
      <w:marBottom w:val="0"/>
      <w:divBdr>
        <w:top w:val="none" w:sz="0" w:space="0" w:color="auto"/>
        <w:left w:val="none" w:sz="0" w:space="0" w:color="auto"/>
        <w:bottom w:val="none" w:sz="0" w:space="0" w:color="auto"/>
        <w:right w:val="none" w:sz="0" w:space="0" w:color="auto"/>
      </w:divBdr>
    </w:div>
    <w:div w:id="629281763">
      <w:bodyDiv w:val="1"/>
      <w:marLeft w:val="0"/>
      <w:marRight w:val="0"/>
      <w:marTop w:val="0"/>
      <w:marBottom w:val="0"/>
      <w:divBdr>
        <w:top w:val="none" w:sz="0" w:space="0" w:color="auto"/>
        <w:left w:val="none" w:sz="0" w:space="0" w:color="auto"/>
        <w:bottom w:val="none" w:sz="0" w:space="0" w:color="auto"/>
        <w:right w:val="none" w:sz="0" w:space="0" w:color="auto"/>
      </w:divBdr>
    </w:div>
    <w:div w:id="737942462">
      <w:bodyDiv w:val="1"/>
      <w:marLeft w:val="0"/>
      <w:marRight w:val="0"/>
      <w:marTop w:val="0"/>
      <w:marBottom w:val="0"/>
      <w:divBdr>
        <w:top w:val="none" w:sz="0" w:space="0" w:color="auto"/>
        <w:left w:val="none" w:sz="0" w:space="0" w:color="auto"/>
        <w:bottom w:val="none" w:sz="0" w:space="0" w:color="auto"/>
        <w:right w:val="none" w:sz="0" w:space="0" w:color="auto"/>
      </w:divBdr>
    </w:div>
    <w:div w:id="812523293">
      <w:bodyDiv w:val="1"/>
      <w:marLeft w:val="0"/>
      <w:marRight w:val="0"/>
      <w:marTop w:val="0"/>
      <w:marBottom w:val="0"/>
      <w:divBdr>
        <w:top w:val="none" w:sz="0" w:space="0" w:color="auto"/>
        <w:left w:val="none" w:sz="0" w:space="0" w:color="auto"/>
        <w:bottom w:val="none" w:sz="0" w:space="0" w:color="auto"/>
        <w:right w:val="none" w:sz="0" w:space="0" w:color="auto"/>
      </w:divBdr>
    </w:div>
    <w:div w:id="998538180">
      <w:bodyDiv w:val="1"/>
      <w:marLeft w:val="0"/>
      <w:marRight w:val="0"/>
      <w:marTop w:val="0"/>
      <w:marBottom w:val="0"/>
      <w:divBdr>
        <w:top w:val="none" w:sz="0" w:space="0" w:color="auto"/>
        <w:left w:val="none" w:sz="0" w:space="0" w:color="auto"/>
        <w:bottom w:val="none" w:sz="0" w:space="0" w:color="auto"/>
        <w:right w:val="none" w:sz="0" w:space="0" w:color="auto"/>
      </w:divBdr>
    </w:div>
    <w:div w:id="1290086803">
      <w:bodyDiv w:val="1"/>
      <w:marLeft w:val="0"/>
      <w:marRight w:val="0"/>
      <w:marTop w:val="0"/>
      <w:marBottom w:val="0"/>
      <w:divBdr>
        <w:top w:val="none" w:sz="0" w:space="0" w:color="auto"/>
        <w:left w:val="none" w:sz="0" w:space="0" w:color="auto"/>
        <w:bottom w:val="none" w:sz="0" w:space="0" w:color="auto"/>
        <w:right w:val="none" w:sz="0" w:space="0" w:color="auto"/>
      </w:divBdr>
    </w:div>
    <w:div w:id="1473326674">
      <w:bodyDiv w:val="1"/>
      <w:marLeft w:val="0"/>
      <w:marRight w:val="0"/>
      <w:marTop w:val="0"/>
      <w:marBottom w:val="0"/>
      <w:divBdr>
        <w:top w:val="none" w:sz="0" w:space="0" w:color="auto"/>
        <w:left w:val="none" w:sz="0" w:space="0" w:color="auto"/>
        <w:bottom w:val="none" w:sz="0" w:space="0" w:color="auto"/>
        <w:right w:val="none" w:sz="0" w:space="0" w:color="auto"/>
      </w:divBdr>
    </w:div>
    <w:div w:id="1492258125">
      <w:bodyDiv w:val="1"/>
      <w:marLeft w:val="0"/>
      <w:marRight w:val="0"/>
      <w:marTop w:val="0"/>
      <w:marBottom w:val="0"/>
      <w:divBdr>
        <w:top w:val="none" w:sz="0" w:space="0" w:color="auto"/>
        <w:left w:val="none" w:sz="0" w:space="0" w:color="auto"/>
        <w:bottom w:val="none" w:sz="0" w:space="0" w:color="auto"/>
        <w:right w:val="none" w:sz="0" w:space="0" w:color="auto"/>
      </w:divBdr>
    </w:div>
    <w:div w:id="1514684102">
      <w:bodyDiv w:val="1"/>
      <w:marLeft w:val="0"/>
      <w:marRight w:val="0"/>
      <w:marTop w:val="0"/>
      <w:marBottom w:val="0"/>
      <w:divBdr>
        <w:top w:val="none" w:sz="0" w:space="0" w:color="auto"/>
        <w:left w:val="none" w:sz="0" w:space="0" w:color="auto"/>
        <w:bottom w:val="none" w:sz="0" w:space="0" w:color="auto"/>
        <w:right w:val="none" w:sz="0" w:space="0" w:color="auto"/>
      </w:divBdr>
    </w:div>
    <w:div w:id="1544102116">
      <w:bodyDiv w:val="1"/>
      <w:marLeft w:val="0"/>
      <w:marRight w:val="0"/>
      <w:marTop w:val="0"/>
      <w:marBottom w:val="0"/>
      <w:divBdr>
        <w:top w:val="none" w:sz="0" w:space="0" w:color="auto"/>
        <w:left w:val="none" w:sz="0" w:space="0" w:color="auto"/>
        <w:bottom w:val="none" w:sz="0" w:space="0" w:color="auto"/>
        <w:right w:val="none" w:sz="0" w:space="0" w:color="auto"/>
      </w:divBdr>
      <w:divsChild>
        <w:div w:id="398526820">
          <w:marLeft w:val="0"/>
          <w:marRight w:val="0"/>
          <w:marTop w:val="0"/>
          <w:marBottom w:val="0"/>
          <w:divBdr>
            <w:top w:val="none" w:sz="0" w:space="0" w:color="auto"/>
            <w:left w:val="none" w:sz="0" w:space="0" w:color="auto"/>
            <w:bottom w:val="none" w:sz="0" w:space="0" w:color="auto"/>
            <w:right w:val="none" w:sz="0" w:space="0" w:color="auto"/>
          </w:divBdr>
        </w:div>
      </w:divsChild>
    </w:div>
    <w:div w:id="1798797477">
      <w:bodyDiv w:val="1"/>
      <w:marLeft w:val="0"/>
      <w:marRight w:val="0"/>
      <w:marTop w:val="0"/>
      <w:marBottom w:val="0"/>
      <w:divBdr>
        <w:top w:val="none" w:sz="0" w:space="0" w:color="auto"/>
        <w:left w:val="none" w:sz="0" w:space="0" w:color="auto"/>
        <w:bottom w:val="none" w:sz="0" w:space="0" w:color="auto"/>
        <w:right w:val="none" w:sz="0" w:space="0" w:color="auto"/>
      </w:divBdr>
    </w:div>
    <w:div w:id="201025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irwork.gov.au/about-us/news-and-media-releases/2015-media-releases/august-2015/20150819-mr-kitchen-presser" TargetMode="External"/><Relationship Id="rId13" Type="http://schemas.openxmlformats.org/officeDocument/2006/relationships/hyperlink" Target="https://www.fairwork.gov.au/About-us/Our-vision/strategic-inte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edia@fwo.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irwork.gov.au/reports/food-precincts-activities-report%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icky.Chaffer@fwo.gov.au"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irwork.gov.au/ArticleDocuments/884/xin-long-pty-ltd-eu.pdf.aspx" TargetMode="External"/><Relationship Id="rId14" Type="http://schemas.openxmlformats.org/officeDocument/2006/relationships/hyperlink" Target="https://www.fairwork.gov.au/about-us/our-vision/compliance-and-enforcement-policy"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fairwork.gov.au/about-us/news-and-media-releases/2018-media-releases/august-2018/20180830-hongyen-penalty" TargetMode="External"/><Relationship Id="rId2" Type="http://schemas.openxmlformats.org/officeDocument/2006/relationships/hyperlink" Target="https://www.fairwork.gov.au/about-us/our-vision/compliance-and-enforcement-policy" TargetMode="External"/><Relationship Id="rId1" Type="http://schemas.openxmlformats.org/officeDocument/2006/relationships/hyperlink" Target="https://www.fairwork.gov.au/small-business-showcase" TargetMode="External"/><Relationship Id="rId5" Type="http://schemas.openxmlformats.org/officeDocument/2006/relationships/hyperlink" Target="https://www.fairwork.gov.au/reports/food-precincts-activities-report" TargetMode="External"/><Relationship Id="rId4" Type="http://schemas.openxmlformats.org/officeDocument/2006/relationships/hyperlink" Target="https://www.fairwork.gov.au/about-us/news-and-media-releases/2018-media-releases/july-2018/20180710-house-of-polish-penalt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F4729-E2A2-4CC0-ADFA-F7D92A09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DD8A319E.dotm</Template>
  <TotalTime>0</TotalTime>
  <Pages>20</Pages>
  <Words>4657</Words>
  <Characters>28041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National compliance monitoring campaign report #2</vt:lpstr>
    </vt:vector>
  </TitlesOfParts>
  <Company/>
  <LinksUpToDate>false</LinksUpToDate>
  <CharactersWithSpaces>32633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compliance monitoring campaign report #2</dc:title>
  <dc:subject>National compliance monitoring campaign report #2</dc:subject>
  <dc:creator/>
  <cp:keywords>National compliance monitoring campaign report #2</cp:keywords>
  <dc:description/>
  <cp:lastModifiedBy/>
  <cp:revision>1</cp:revision>
  <dcterms:created xsi:type="dcterms:W3CDTF">2018-11-07T06:20:00Z</dcterms:created>
  <dcterms:modified xsi:type="dcterms:W3CDTF">2018-11-07T06:22:00Z</dcterms:modified>
</cp:coreProperties>
</file>