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DF31FB" w14:textId="77777777" w:rsidR="007D3E36" w:rsidRDefault="007D3E36" w:rsidP="007D3E36">
      <w:pPr>
        <w:jc w:val="center"/>
        <w:rPr>
          <w:b/>
          <w:sz w:val="28"/>
          <w:szCs w:val="28"/>
        </w:rPr>
      </w:pPr>
      <w:r>
        <w:rPr>
          <w:b/>
          <w:noProof/>
          <w:sz w:val="28"/>
          <w:szCs w:val="28"/>
          <w:lang w:eastAsia="en-AU"/>
        </w:rPr>
        <w:drawing>
          <wp:inline distT="0" distB="0" distL="0" distR="0" wp14:anchorId="4CDF3259" wp14:editId="64B650D3">
            <wp:extent cx="2420620" cy="549910"/>
            <wp:effectExtent l="0" t="0" r="0" b="2540"/>
            <wp:docPr id="1" name="Picture 1" descr="Red Rooster logo" title="Red Roo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Templates\Brand Templates\Red Rooster\red rooster corporat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0620" cy="549910"/>
                    </a:xfrm>
                    <a:prstGeom prst="rect">
                      <a:avLst/>
                    </a:prstGeom>
                    <a:noFill/>
                    <a:ln>
                      <a:noFill/>
                    </a:ln>
                  </pic:spPr>
                </pic:pic>
              </a:graphicData>
            </a:graphic>
          </wp:inline>
        </w:drawing>
      </w:r>
    </w:p>
    <w:p w14:paraId="4CDF31FE" w14:textId="77777777" w:rsidR="007D3E36" w:rsidRDefault="002B6DB2" w:rsidP="008B6B11">
      <w:pPr>
        <w:spacing w:before="1560"/>
        <w:jc w:val="center"/>
        <w:rPr>
          <w:b/>
          <w:sz w:val="28"/>
          <w:szCs w:val="28"/>
        </w:rPr>
      </w:pPr>
      <w:r>
        <w:rPr>
          <w:b/>
          <w:sz w:val="28"/>
          <w:szCs w:val="28"/>
        </w:rPr>
        <w:t>APPENDIX A</w:t>
      </w:r>
    </w:p>
    <w:p w14:paraId="4CDF31FF" w14:textId="77777777" w:rsidR="000706B5" w:rsidRDefault="007D3E36" w:rsidP="007D3E36">
      <w:pPr>
        <w:jc w:val="center"/>
        <w:rPr>
          <w:b/>
          <w:sz w:val="28"/>
          <w:szCs w:val="28"/>
        </w:rPr>
      </w:pPr>
      <w:r w:rsidRPr="007D3E36">
        <w:rPr>
          <w:b/>
          <w:sz w:val="28"/>
          <w:szCs w:val="28"/>
        </w:rPr>
        <w:t xml:space="preserve">Report on Proactive Compliance Deed </w:t>
      </w:r>
    </w:p>
    <w:p w14:paraId="4CDF3200" w14:textId="5CA4ED69" w:rsidR="000706B5" w:rsidRDefault="007C73A8" w:rsidP="007D3E36">
      <w:pPr>
        <w:jc w:val="center"/>
        <w:rPr>
          <w:b/>
          <w:sz w:val="28"/>
          <w:szCs w:val="28"/>
        </w:rPr>
      </w:pPr>
      <w:proofErr w:type="gramStart"/>
      <w:r>
        <w:rPr>
          <w:b/>
          <w:sz w:val="28"/>
          <w:szCs w:val="28"/>
        </w:rPr>
        <w:t>between</w:t>
      </w:r>
      <w:proofErr w:type="gramEnd"/>
    </w:p>
    <w:p w14:paraId="4CDF3201" w14:textId="77777777" w:rsidR="000706B5" w:rsidRDefault="007D3E36" w:rsidP="007D3E36">
      <w:pPr>
        <w:jc w:val="center"/>
        <w:rPr>
          <w:b/>
          <w:sz w:val="28"/>
          <w:szCs w:val="28"/>
        </w:rPr>
      </w:pPr>
      <w:r w:rsidRPr="007D3E36">
        <w:rPr>
          <w:b/>
          <w:sz w:val="28"/>
          <w:szCs w:val="28"/>
        </w:rPr>
        <w:t xml:space="preserve">Red Rooster Foods Pty Ltd </w:t>
      </w:r>
      <w:proofErr w:type="spellStart"/>
      <w:r w:rsidRPr="007D3E36">
        <w:rPr>
          <w:b/>
          <w:sz w:val="28"/>
          <w:szCs w:val="28"/>
        </w:rPr>
        <w:t>ACN</w:t>
      </w:r>
      <w:proofErr w:type="spellEnd"/>
      <w:r w:rsidRPr="007D3E36">
        <w:rPr>
          <w:b/>
          <w:sz w:val="28"/>
          <w:szCs w:val="28"/>
        </w:rPr>
        <w:t xml:space="preserve"> 51 008 754 096 </w:t>
      </w:r>
    </w:p>
    <w:p w14:paraId="4CDF3202" w14:textId="087CDBEA" w:rsidR="000706B5" w:rsidRDefault="007C73A8" w:rsidP="007D3E36">
      <w:pPr>
        <w:jc w:val="center"/>
        <w:rPr>
          <w:b/>
          <w:sz w:val="28"/>
          <w:szCs w:val="28"/>
        </w:rPr>
      </w:pPr>
      <w:proofErr w:type="gramStart"/>
      <w:r>
        <w:rPr>
          <w:b/>
          <w:sz w:val="28"/>
          <w:szCs w:val="28"/>
        </w:rPr>
        <w:t>and</w:t>
      </w:r>
      <w:proofErr w:type="gramEnd"/>
    </w:p>
    <w:p w14:paraId="4CDF3203" w14:textId="5267A9C4" w:rsidR="000706B5" w:rsidRDefault="000706B5" w:rsidP="007D3E36">
      <w:pPr>
        <w:jc w:val="center"/>
        <w:rPr>
          <w:b/>
          <w:sz w:val="28"/>
          <w:szCs w:val="28"/>
        </w:rPr>
      </w:pPr>
      <w:r>
        <w:rPr>
          <w:b/>
          <w:sz w:val="28"/>
          <w:szCs w:val="28"/>
        </w:rPr>
        <w:t>T</w:t>
      </w:r>
      <w:r w:rsidR="007C73A8">
        <w:rPr>
          <w:b/>
          <w:sz w:val="28"/>
          <w:szCs w:val="28"/>
        </w:rPr>
        <w:t>he Commonwealth of Australia</w:t>
      </w:r>
    </w:p>
    <w:p w14:paraId="4CDF3204" w14:textId="77777777" w:rsidR="00714030" w:rsidRPr="007D3E36" w:rsidRDefault="007D3E36" w:rsidP="007D3E36">
      <w:pPr>
        <w:jc w:val="center"/>
        <w:rPr>
          <w:b/>
          <w:sz w:val="28"/>
          <w:szCs w:val="28"/>
        </w:rPr>
      </w:pPr>
      <w:r w:rsidRPr="007D3E36">
        <w:rPr>
          <w:b/>
          <w:sz w:val="28"/>
          <w:szCs w:val="28"/>
        </w:rPr>
        <w:t>(</w:t>
      </w:r>
      <w:proofErr w:type="gramStart"/>
      <w:r w:rsidRPr="007D3E36">
        <w:rPr>
          <w:b/>
          <w:sz w:val="28"/>
          <w:szCs w:val="28"/>
        </w:rPr>
        <w:t>as</w:t>
      </w:r>
      <w:proofErr w:type="gramEnd"/>
      <w:r w:rsidRPr="007D3E36">
        <w:rPr>
          <w:b/>
          <w:sz w:val="28"/>
          <w:szCs w:val="28"/>
        </w:rPr>
        <w:t xml:space="preserve"> represented by the office of the Fair Work Ombudsman)</w:t>
      </w:r>
    </w:p>
    <w:p w14:paraId="4CDF320A" w14:textId="77777777" w:rsidR="007D3E36" w:rsidRDefault="007D3E36" w:rsidP="008B6B11">
      <w:pPr>
        <w:spacing w:before="2400"/>
        <w:jc w:val="center"/>
      </w:pPr>
      <w:r>
        <w:t xml:space="preserve">Compiled by </w:t>
      </w:r>
      <w:r w:rsidR="005858A6">
        <w:t>Quick Service Restaurants Holdings Pty Ltd</w:t>
      </w:r>
    </w:p>
    <w:p w14:paraId="4CDF320B" w14:textId="77777777" w:rsidR="005858A6" w:rsidRDefault="005858A6" w:rsidP="007D3E36">
      <w:pPr>
        <w:jc w:val="center"/>
      </w:pPr>
      <w:r>
        <w:t>(</w:t>
      </w:r>
      <w:proofErr w:type="gramStart"/>
      <w:r>
        <w:t>holding</w:t>
      </w:r>
      <w:proofErr w:type="gramEnd"/>
      <w:r>
        <w:t xml:space="preserve"> company for Red Rooster Foods Pty Ltd)</w:t>
      </w:r>
    </w:p>
    <w:p w14:paraId="4CDF320C" w14:textId="4A966502" w:rsidR="003F6AC8" w:rsidRDefault="007D3E36" w:rsidP="007D3E36">
      <w:pPr>
        <w:jc w:val="center"/>
      </w:pPr>
      <w:r>
        <w:t xml:space="preserve">Dated </w:t>
      </w:r>
      <w:r w:rsidR="00486180">
        <w:t>19 June 2014</w:t>
      </w:r>
    </w:p>
    <w:p w14:paraId="4CDF320D" w14:textId="77777777" w:rsidR="003F6AC8" w:rsidRDefault="003F6AC8">
      <w:r>
        <w:br w:type="page"/>
      </w:r>
    </w:p>
    <w:p w14:paraId="4CDF320F" w14:textId="6F6E6CDD" w:rsidR="003F6AC8" w:rsidRPr="007C73A8" w:rsidRDefault="003F6AC8" w:rsidP="007C73A8">
      <w:pPr>
        <w:jc w:val="center"/>
        <w:rPr>
          <w:b/>
          <w:sz w:val="20"/>
          <w:szCs w:val="20"/>
        </w:rPr>
      </w:pPr>
      <w:r w:rsidRPr="003C6A03">
        <w:rPr>
          <w:b/>
          <w:sz w:val="20"/>
          <w:szCs w:val="20"/>
        </w:rPr>
        <w:lastRenderedPageBreak/>
        <w:t>Contents</w:t>
      </w:r>
    </w:p>
    <w:p w14:paraId="4CDF3210" w14:textId="77777777" w:rsidR="003F6AC8" w:rsidRPr="003C6A03" w:rsidRDefault="003F6AC8" w:rsidP="003F6AC8">
      <w:pPr>
        <w:rPr>
          <w:sz w:val="20"/>
          <w:szCs w:val="20"/>
        </w:rPr>
      </w:pPr>
      <w:r w:rsidRPr="003C6A03">
        <w:rPr>
          <w:sz w:val="20"/>
          <w:szCs w:val="20"/>
        </w:rPr>
        <w:t>Background</w:t>
      </w:r>
      <w:r w:rsidRPr="003C6A03">
        <w:rPr>
          <w:sz w:val="20"/>
          <w:szCs w:val="20"/>
        </w:rPr>
        <w:tab/>
      </w:r>
      <w:r w:rsidRPr="003C6A03">
        <w:rPr>
          <w:sz w:val="20"/>
          <w:szCs w:val="20"/>
        </w:rPr>
        <w:tab/>
      </w:r>
      <w:r w:rsidR="000706B5" w:rsidRPr="003C6A03">
        <w:rPr>
          <w:sz w:val="20"/>
          <w:szCs w:val="20"/>
        </w:rPr>
        <w:tab/>
      </w:r>
      <w:r w:rsidRPr="003C6A03">
        <w:rPr>
          <w:sz w:val="20"/>
          <w:szCs w:val="20"/>
        </w:rPr>
        <w:t>…………………………………………………………………………….</w:t>
      </w:r>
      <w:r w:rsidR="000706B5" w:rsidRPr="003C6A03">
        <w:rPr>
          <w:sz w:val="20"/>
          <w:szCs w:val="20"/>
        </w:rPr>
        <w:t xml:space="preserve"> Page 3</w:t>
      </w:r>
    </w:p>
    <w:p w14:paraId="4CDF3211" w14:textId="77777777" w:rsidR="003F6AC8" w:rsidRPr="003C6A03" w:rsidRDefault="0064660E" w:rsidP="003F6AC8">
      <w:pPr>
        <w:rPr>
          <w:sz w:val="20"/>
          <w:szCs w:val="20"/>
        </w:rPr>
      </w:pPr>
      <w:r w:rsidRPr="003C6A03">
        <w:rPr>
          <w:sz w:val="20"/>
          <w:szCs w:val="20"/>
        </w:rPr>
        <w:t xml:space="preserve">Methodology and Implementation </w:t>
      </w:r>
      <w:r w:rsidR="000706B5" w:rsidRPr="003C6A03">
        <w:rPr>
          <w:sz w:val="20"/>
          <w:szCs w:val="20"/>
        </w:rPr>
        <w:tab/>
      </w:r>
      <w:r w:rsidRPr="003C6A03">
        <w:rPr>
          <w:sz w:val="20"/>
          <w:szCs w:val="20"/>
        </w:rPr>
        <w:t>………….</w:t>
      </w:r>
      <w:r w:rsidR="003F6AC8" w:rsidRPr="003C6A03">
        <w:rPr>
          <w:sz w:val="20"/>
          <w:szCs w:val="20"/>
        </w:rPr>
        <w:t>…………………………………………………….</w:t>
      </w:r>
      <w:r w:rsidR="000706B5" w:rsidRPr="003C6A03">
        <w:rPr>
          <w:sz w:val="20"/>
          <w:szCs w:val="20"/>
        </w:rPr>
        <w:t xml:space="preserve"> </w:t>
      </w:r>
      <w:r w:rsidR="003C6A03">
        <w:rPr>
          <w:sz w:val="20"/>
          <w:szCs w:val="20"/>
        </w:rPr>
        <w:t xml:space="preserve">…………. </w:t>
      </w:r>
      <w:r w:rsidR="000706B5" w:rsidRPr="003C6A03">
        <w:rPr>
          <w:sz w:val="20"/>
          <w:szCs w:val="20"/>
        </w:rPr>
        <w:t>Page 3</w:t>
      </w:r>
    </w:p>
    <w:p w14:paraId="4CDF3212" w14:textId="77777777" w:rsidR="003F6AC8" w:rsidRPr="003C6A03" w:rsidRDefault="004F514F" w:rsidP="003F6AC8">
      <w:pPr>
        <w:rPr>
          <w:sz w:val="20"/>
          <w:szCs w:val="20"/>
        </w:rPr>
      </w:pPr>
      <w:r w:rsidRPr="003C6A03">
        <w:rPr>
          <w:sz w:val="20"/>
          <w:szCs w:val="20"/>
        </w:rPr>
        <w:t>Results</w:t>
      </w:r>
      <w:r w:rsidR="003F6AC8" w:rsidRPr="003C6A03">
        <w:rPr>
          <w:sz w:val="20"/>
          <w:szCs w:val="20"/>
        </w:rPr>
        <w:tab/>
      </w:r>
      <w:r w:rsidR="0064660E" w:rsidRPr="003C6A03">
        <w:rPr>
          <w:sz w:val="20"/>
          <w:szCs w:val="20"/>
        </w:rPr>
        <w:t>&amp; Progress</w:t>
      </w:r>
      <w:r w:rsidR="003F6AC8" w:rsidRPr="003C6A03">
        <w:rPr>
          <w:sz w:val="20"/>
          <w:szCs w:val="20"/>
        </w:rPr>
        <w:tab/>
      </w:r>
      <w:r w:rsidR="0064660E" w:rsidRPr="003C6A03">
        <w:rPr>
          <w:sz w:val="20"/>
          <w:szCs w:val="20"/>
        </w:rPr>
        <w:tab/>
      </w:r>
      <w:r w:rsidR="003F6AC8" w:rsidRPr="003C6A03">
        <w:rPr>
          <w:sz w:val="20"/>
          <w:szCs w:val="20"/>
        </w:rPr>
        <w:t>…………………………………………………………………………….</w:t>
      </w:r>
      <w:r w:rsidRPr="003C6A03">
        <w:rPr>
          <w:sz w:val="20"/>
          <w:szCs w:val="20"/>
        </w:rPr>
        <w:t xml:space="preserve"> Page 4</w:t>
      </w:r>
    </w:p>
    <w:p w14:paraId="4CDF3213" w14:textId="77777777" w:rsidR="0064660E" w:rsidRPr="003C6A03" w:rsidRDefault="0064660E" w:rsidP="003F6AC8">
      <w:pPr>
        <w:rPr>
          <w:sz w:val="20"/>
          <w:szCs w:val="20"/>
        </w:rPr>
      </w:pPr>
      <w:r w:rsidRPr="003C6A03">
        <w:rPr>
          <w:sz w:val="20"/>
          <w:szCs w:val="20"/>
        </w:rPr>
        <w:t>Conclusions &amp; Observations</w:t>
      </w:r>
      <w:r w:rsidRPr="003C6A03">
        <w:rPr>
          <w:sz w:val="20"/>
          <w:szCs w:val="20"/>
        </w:rPr>
        <w:tab/>
        <w:t>……………………………………………………………………………. Page 5</w:t>
      </w:r>
    </w:p>
    <w:p w14:paraId="4CDF3214" w14:textId="77777777" w:rsidR="004F514F" w:rsidRPr="003C6A03" w:rsidRDefault="004F514F" w:rsidP="003F6AC8">
      <w:pPr>
        <w:rPr>
          <w:sz w:val="20"/>
          <w:szCs w:val="20"/>
        </w:rPr>
      </w:pPr>
      <w:r w:rsidRPr="003C6A03">
        <w:rPr>
          <w:sz w:val="20"/>
          <w:szCs w:val="20"/>
        </w:rPr>
        <w:t>Rate Table</w:t>
      </w:r>
      <w:r w:rsidRPr="003C6A03">
        <w:rPr>
          <w:sz w:val="20"/>
          <w:szCs w:val="20"/>
        </w:rPr>
        <w:tab/>
      </w:r>
      <w:r w:rsidRPr="003C6A03">
        <w:rPr>
          <w:sz w:val="20"/>
          <w:szCs w:val="20"/>
        </w:rPr>
        <w:tab/>
      </w:r>
      <w:r w:rsidRPr="003C6A03">
        <w:rPr>
          <w:sz w:val="20"/>
          <w:szCs w:val="20"/>
        </w:rPr>
        <w:tab/>
        <w:t xml:space="preserve">……………………………………………………………………………. Appendix </w:t>
      </w:r>
      <w:r w:rsidR="002B6DB2" w:rsidRPr="003C6A03">
        <w:rPr>
          <w:sz w:val="20"/>
          <w:szCs w:val="20"/>
        </w:rPr>
        <w:t>A</w:t>
      </w:r>
      <w:r w:rsidRPr="003C6A03">
        <w:rPr>
          <w:sz w:val="20"/>
          <w:szCs w:val="20"/>
        </w:rPr>
        <w:t>1</w:t>
      </w:r>
    </w:p>
    <w:p w14:paraId="4CDF3215" w14:textId="77777777" w:rsidR="005858A6" w:rsidRPr="003C6A03" w:rsidRDefault="0064660E" w:rsidP="003F6AC8">
      <w:pPr>
        <w:rPr>
          <w:sz w:val="20"/>
          <w:szCs w:val="20"/>
        </w:rPr>
      </w:pPr>
      <w:r w:rsidRPr="003C6A03">
        <w:rPr>
          <w:sz w:val="20"/>
          <w:szCs w:val="20"/>
        </w:rPr>
        <w:t>Liability Tracking Sheet</w:t>
      </w:r>
      <w:r w:rsidRPr="003C6A03">
        <w:rPr>
          <w:sz w:val="20"/>
          <w:szCs w:val="20"/>
        </w:rPr>
        <w:tab/>
      </w:r>
      <w:r w:rsidRPr="003C6A03">
        <w:rPr>
          <w:sz w:val="20"/>
          <w:szCs w:val="20"/>
        </w:rPr>
        <w:tab/>
        <w:t xml:space="preserve">……………………………………………………………………………. Appendix </w:t>
      </w:r>
      <w:proofErr w:type="spellStart"/>
      <w:r w:rsidR="002B6DB2" w:rsidRPr="003C6A03">
        <w:rPr>
          <w:sz w:val="20"/>
          <w:szCs w:val="20"/>
        </w:rPr>
        <w:t>A</w:t>
      </w:r>
      <w:r w:rsidRPr="003C6A03">
        <w:rPr>
          <w:sz w:val="20"/>
          <w:szCs w:val="20"/>
        </w:rPr>
        <w:t>2</w:t>
      </w:r>
      <w:proofErr w:type="spellEnd"/>
    </w:p>
    <w:p w14:paraId="4CDF3216" w14:textId="05FCCDBC" w:rsidR="0064660E" w:rsidRPr="003C6A03" w:rsidRDefault="0064660E" w:rsidP="00E222E9">
      <w:pPr>
        <w:ind w:left="2835" w:hanging="2835"/>
        <w:rPr>
          <w:sz w:val="20"/>
          <w:szCs w:val="20"/>
        </w:rPr>
      </w:pPr>
      <w:r w:rsidRPr="003C6A03">
        <w:rPr>
          <w:sz w:val="20"/>
          <w:szCs w:val="20"/>
        </w:rPr>
        <w:t>Payslips</w:t>
      </w:r>
      <w:r w:rsidR="00E222E9">
        <w:rPr>
          <w:sz w:val="20"/>
          <w:szCs w:val="20"/>
        </w:rPr>
        <w:tab/>
      </w:r>
      <w:bookmarkStart w:id="0" w:name="_GoBack"/>
      <w:bookmarkEnd w:id="0"/>
      <w:r w:rsidRPr="003C6A03">
        <w:rPr>
          <w:sz w:val="20"/>
          <w:szCs w:val="20"/>
        </w:rPr>
        <w:t xml:space="preserve">……………………………………………………………………………. Appendix </w:t>
      </w:r>
      <w:proofErr w:type="spellStart"/>
      <w:r w:rsidR="002B6DB2" w:rsidRPr="003C6A03">
        <w:rPr>
          <w:sz w:val="20"/>
          <w:szCs w:val="20"/>
        </w:rPr>
        <w:t>A</w:t>
      </w:r>
      <w:r w:rsidRPr="003C6A03">
        <w:rPr>
          <w:sz w:val="20"/>
          <w:szCs w:val="20"/>
        </w:rPr>
        <w:t>3</w:t>
      </w:r>
      <w:proofErr w:type="spellEnd"/>
    </w:p>
    <w:p w14:paraId="4CDF3217" w14:textId="77777777" w:rsidR="004F514F" w:rsidRDefault="004F514F">
      <w:r>
        <w:br w:type="page"/>
      </w:r>
    </w:p>
    <w:p w14:paraId="4CDF3219" w14:textId="77777777" w:rsidR="003F6AC8" w:rsidRPr="000474A4" w:rsidRDefault="003F6AC8" w:rsidP="000474A4">
      <w:pPr>
        <w:pStyle w:val="Heading2"/>
        <w:rPr>
          <w:color w:val="auto"/>
        </w:rPr>
      </w:pPr>
      <w:r w:rsidRPr="000474A4">
        <w:rPr>
          <w:color w:val="auto"/>
        </w:rPr>
        <w:lastRenderedPageBreak/>
        <w:t>Background</w:t>
      </w:r>
    </w:p>
    <w:p w14:paraId="4CDF321A" w14:textId="77777777" w:rsidR="00A16B16" w:rsidRPr="003C6A03" w:rsidRDefault="003142BE" w:rsidP="00D52A1C">
      <w:pPr>
        <w:spacing w:line="240" w:lineRule="auto"/>
        <w:jc w:val="both"/>
        <w:rPr>
          <w:sz w:val="20"/>
          <w:szCs w:val="20"/>
        </w:rPr>
      </w:pPr>
      <w:r w:rsidRPr="003C6A03">
        <w:rPr>
          <w:sz w:val="20"/>
          <w:szCs w:val="20"/>
        </w:rPr>
        <w:t>Red Rooster Foods Pty Ltd entered into a</w:t>
      </w:r>
      <w:r w:rsidR="005858A6" w:rsidRPr="003C6A03">
        <w:rPr>
          <w:sz w:val="20"/>
          <w:szCs w:val="20"/>
        </w:rPr>
        <w:t xml:space="preserve"> Proactive Compliance Deed </w:t>
      </w:r>
      <w:r w:rsidR="00A16B16" w:rsidRPr="003C6A03">
        <w:rPr>
          <w:sz w:val="20"/>
          <w:szCs w:val="20"/>
        </w:rPr>
        <w:t xml:space="preserve">(Deed) </w:t>
      </w:r>
      <w:r w:rsidR="005858A6" w:rsidRPr="003C6A03">
        <w:rPr>
          <w:sz w:val="20"/>
          <w:szCs w:val="20"/>
        </w:rPr>
        <w:t>with</w:t>
      </w:r>
      <w:r w:rsidRPr="003C6A03">
        <w:rPr>
          <w:sz w:val="20"/>
          <w:szCs w:val="20"/>
        </w:rPr>
        <w:t xml:space="preserve"> The Commonwealth of Australia as represented by the Office of the Fair Work Ombudsman in </w:t>
      </w:r>
      <w:r w:rsidR="00FF0F17" w:rsidRPr="003C6A03">
        <w:rPr>
          <w:sz w:val="20"/>
          <w:szCs w:val="20"/>
        </w:rPr>
        <w:t>February 2012</w:t>
      </w:r>
      <w:r w:rsidRPr="003C6A03">
        <w:rPr>
          <w:sz w:val="20"/>
          <w:szCs w:val="20"/>
        </w:rPr>
        <w:t xml:space="preserve">. </w:t>
      </w:r>
      <w:r w:rsidR="00A16B16" w:rsidRPr="003C6A03">
        <w:rPr>
          <w:sz w:val="20"/>
          <w:szCs w:val="20"/>
        </w:rPr>
        <w:t>The Deed required Quick Service Restaurants Holdings Pty Ltd (</w:t>
      </w:r>
      <w:proofErr w:type="spellStart"/>
      <w:r w:rsidR="00A16B16" w:rsidRPr="003C6A03">
        <w:rPr>
          <w:sz w:val="20"/>
          <w:szCs w:val="20"/>
        </w:rPr>
        <w:t>QSRH</w:t>
      </w:r>
      <w:proofErr w:type="spellEnd"/>
      <w:r w:rsidR="00A16B16" w:rsidRPr="003C6A03">
        <w:rPr>
          <w:sz w:val="20"/>
          <w:szCs w:val="20"/>
        </w:rPr>
        <w:t xml:space="preserve">) to audit the respondents of the Red Rooster </w:t>
      </w:r>
      <w:r w:rsidR="002051B9">
        <w:rPr>
          <w:sz w:val="20"/>
          <w:szCs w:val="20"/>
        </w:rPr>
        <w:t>Agreement</w:t>
      </w:r>
      <w:r w:rsidR="00A16B16" w:rsidRPr="003C6A03">
        <w:rPr>
          <w:sz w:val="20"/>
          <w:szCs w:val="20"/>
        </w:rPr>
        <w:t xml:space="preserve"> 2009 with a view to identifying and rectifying underpayments of all current and past employees of these respondents during the audit period of January 2010 to December 2011.</w:t>
      </w:r>
    </w:p>
    <w:p w14:paraId="4CDF321B" w14:textId="17A2C074" w:rsidR="003F6AC8" w:rsidRPr="003C6A03" w:rsidRDefault="003142BE" w:rsidP="00D52A1C">
      <w:pPr>
        <w:spacing w:line="240" w:lineRule="auto"/>
        <w:jc w:val="both"/>
        <w:rPr>
          <w:sz w:val="20"/>
          <w:szCs w:val="20"/>
        </w:rPr>
      </w:pPr>
      <w:r w:rsidRPr="003C6A03">
        <w:rPr>
          <w:sz w:val="20"/>
          <w:szCs w:val="20"/>
        </w:rPr>
        <w:t xml:space="preserve">Red Rooster Foods Pty Ltd operates the Red Rooster brand in Australia and as part of that business grants third parties (franchisees) the right to operate a Red Rooster outlet pursuant to its standard franchise </w:t>
      </w:r>
      <w:r w:rsidR="002051B9">
        <w:rPr>
          <w:sz w:val="20"/>
          <w:szCs w:val="20"/>
        </w:rPr>
        <w:t>Agreement</w:t>
      </w:r>
      <w:r w:rsidRPr="003C6A03">
        <w:rPr>
          <w:sz w:val="20"/>
          <w:szCs w:val="20"/>
        </w:rPr>
        <w:t xml:space="preserve">.  At the time the Proactive Compliance Deed became effective Red Rooster Foods Pty Ltd and </w:t>
      </w:r>
      <w:r w:rsidR="002B6DB2" w:rsidRPr="003C6A03">
        <w:rPr>
          <w:sz w:val="20"/>
          <w:szCs w:val="20"/>
        </w:rPr>
        <w:t>its franchisees employed over 70</w:t>
      </w:r>
      <w:r w:rsidRPr="003C6A03">
        <w:rPr>
          <w:sz w:val="20"/>
          <w:szCs w:val="20"/>
        </w:rPr>
        <w:t>00 employees nationally in Red Rooster stores</w:t>
      </w:r>
      <w:r w:rsidR="00B46E50">
        <w:rPr>
          <w:sz w:val="20"/>
          <w:szCs w:val="20"/>
        </w:rPr>
        <w:t>.</w:t>
      </w:r>
    </w:p>
    <w:p w14:paraId="4CDF321C" w14:textId="77777777" w:rsidR="000706B5" w:rsidRPr="003C6A03" w:rsidRDefault="00A16B16" w:rsidP="00D52A1C">
      <w:pPr>
        <w:spacing w:line="240" w:lineRule="auto"/>
        <w:jc w:val="both"/>
        <w:rPr>
          <w:sz w:val="20"/>
          <w:szCs w:val="20"/>
        </w:rPr>
      </w:pPr>
      <w:r w:rsidRPr="003C6A03">
        <w:rPr>
          <w:sz w:val="20"/>
          <w:szCs w:val="20"/>
        </w:rPr>
        <w:t>In October 2011 t</w:t>
      </w:r>
      <w:r w:rsidR="003142BE" w:rsidRPr="003C6A03">
        <w:rPr>
          <w:sz w:val="20"/>
          <w:szCs w:val="20"/>
        </w:rPr>
        <w:t xml:space="preserve">he Fair Work Ombudsman </w:t>
      </w:r>
      <w:r w:rsidRPr="003C6A03">
        <w:rPr>
          <w:sz w:val="20"/>
          <w:szCs w:val="20"/>
        </w:rPr>
        <w:t>(FWO) advised Quick Service Restaurants Holdings Pty Ltd (</w:t>
      </w:r>
      <w:proofErr w:type="spellStart"/>
      <w:r w:rsidRPr="003C6A03">
        <w:rPr>
          <w:sz w:val="20"/>
          <w:szCs w:val="20"/>
        </w:rPr>
        <w:t>QSRH</w:t>
      </w:r>
      <w:proofErr w:type="spellEnd"/>
      <w:r w:rsidRPr="003C6A03">
        <w:rPr>
          <w:sz w:val="20"/>
          <w:szCs w:val="20"/>
        </w:rPr>
        <w:t>) that under subsection 206(1) of the Fair Work Act</w:t>
      </w:r>
      <w:r w:rsidR="002051B9">
        <w:rPr>
          <w:sz w:val="20"/>
          <w:szCs w:val="20"/>
        </w:rPr>
        <w:t xml:space="preserve"> 2009 (</w:t>
      </w:r>
      <w:proofErr w:type="spellStart"/>
      <w:r w:rsidR="002051B9">
        <w:rPr>
          <w:sz w:val="20"/>
          <w:szCs w:val="20"/>
        </w:rPr>
        <w:t>Cth</w:t>
      </w:r>
      <w:proofErr w:type="spellEnd"/>
      <w:r w:rsidR="002051B9">
        <w:rPr>
          <w:sz w:val="20"/>
          <w:szCs w:val="20"/>
        </w:rPr>
        <w:t>), a base rate in an E</w:t>
      </w:r>
      <w:r w:rsidRPr="003C6A03">
        <w:rPr>
          <w:sz w:val="20"/>
          <w:szCs w:val="20"/>
        </w:rPr>
        <w:t xml:space="preserve">nterprise </w:t>
      </w:r>
      <w:r w:rsidR="002051B9">
        <w:rPr>
          <w:sz w:val="20"/>
          <w:szCs w:val="20"/>
        </w:rPr>
        <w:t>Agreement</w:t>
      </w:r>
      <w:r w:rsidRPr="003C6A03">
        <w:rPr>
          <w:sz w:val="20"/>
          <w:szCs w:val="20"/>
        </w:rPr>
        <w:t xml:space="preserve"> cannot be less than the base rate of pay under a modern award that would otherwise cover employees (in the case of Red Rooster that award is the Modern Fast Food Award).  If the </w:t>
      </w:r>
      <w:r w:rsidR="002051B9">
        <w:rPr>
          <w:sz w:val="20"/>
          <w:szCs w:val="20"/>
        </w:rPr>
        <w:t>Agreement</w:t>
      </w:r>
      <w:r w:rsidRPr="003C6A03">
        <w:rPr>
          <w:sz w:val="20"/>
          <w:szCs w:val="20"/>
        </w:rPr>
        <w:t xml:space="preserve"> rate is less than the award rate, then subsection 202(2) provides that th</w:t>
      </w:r>
      <w:r w:rsidR="002051B9">
        <w:rPr>
          <w:sz w:val="20"/>
          <w:szCs w:val="20"/>
        </w:rPr>
        <w:t>e Agreement</w:t>
      </w:r>
      <w:r w:rsidRPr="003C6A03">
        <w:rPr>
          <w:sz w:val="20"/>
          <w:szCs w:val="20"/>
        </w:rPr>
        <w:t xml:space="preserve"> has effect in relat</w:t>
      </w:r>
      <w:r w:rsidR="002051B9">
        <w:rPr>
          <w:sz w:val="20"/>
          <w:szCs w:val="20"/>
        </w:rPr>
        <w:t>ion to the employees as if the Agreement</w:t>
      </w:r>
      <w:r w:rsidRPr="003C6A03">
        <w:rPr>
          <w:sz w:val="20"/>
          <w:szCs w:val="20"/>
        </w:rPr>
        <w:t xml:space="preserve"> rate were equal to the award rate.  The FWO subsequently advised that the named respondents to the Red Rooster </w:t>
      </w:r>
      <w:r w:rsidR="002051B9">
        <w:rPr>
          <w:sz w:val="20"/>
          <w:szCs w:val="20"/>
        </w:rPr>
        <w:t>Agreement</w:t>
      </w:r>
      <w:r w:rsidRPr="003C6A03">
        <w:rPr>
          <w:sz w:val="20"/>
          <w:szCs w:val="20"/>
        </w:rPr>
        <w:t xml:space="preserve"> 2009 </w:t>
      </w:r>
      <w:r w:rsidR="0033641E" w:rsidRPr="003C6A03">
        <w:rPr>
          <w:sz w:val="20"/>
          <w:szCs w:val="20"/>
        </w:rPr>
        <w:t xml:space="preserve">but not respondents to the Red Rooster Award 2002 (Enterprise Award) </w:t>
      </w:r>
      <w:r w:rsidRPr="003C6A03">
        <w:rPr>
          <w:sz w:val="20"/>
          <w:szCs w:val="20"/>
        </w:rPr>
        <w:t xml:space="preserve">who were applying the rates derived from this </w:t>
      </w:r>
      <w:r w:rsidR="002051B9">
        <w:rPr>
          <w:sz w:val="20"/>
          <w:szCs w:val="20"/>
        </w:rPr>
        <w:t>Agreement</w:t>
      </w:r>
      <w:r w:rsidRPr="003C6A03">
        <w:rPr>
          <w:sz w:val="20"/>
          <w:szCs w:val="20"/>
        </w:rPr>
        <w:t xml:space="preserve"> were paying below the transitional base rates from the relevant pre-modern Award(s) to the Modern Fast Food Award.  These rates were later</w:t>
      </w:r>
      <w:r w:rsidR="003142BE" w:rsidRPr="003C6A03">
        <w:rPr>
          <w:sz w:val="20"/>
          <w:szCs w:val="20"/>
        </w:rPr>
        <w:t xml:space="preserve"> agreed </w:t>
      </w:r>
      <w:r w:rsidRPr="003C6A03">
        <w:rPr>
          <w:sz w:val="20"/>
          <w:szCs w:val="20"/>
        </w:rPr>
        <w:t xml:space="preserve">as being those </w:t>
      </w:r>
      <w:r w:rsidR="00D23244" w:rsidRPr="003C6A03">
        <w:rPr>
          <w:sz w:val="20"/>
          <w:szCs w:val="20"/>
        </w:rPr>
        <w:t>in Appendix A1</w:t>
      </w:r>
      <w:r w:rsidR="000706B5" w:rsidRPr="003C6A03">
        <w:rPr>
          <w:sz w:val="20"/>
          <w:szCs w:val="20"/>
        </w:rPr>
        <w:t xml:space="preserve">.  The </w:t>
      </w:r>
      <w:r w:rsidR="00D23244" w:rsidRPr="003C6A03">
        <w:rPr>
          <w:sz w:val="20"/>
          <w:szCs w:val="20"/>
        </w:rPr>
        <w:t>transitional rates in Appendix A1 did</w:t>
      </w:r>
      <w:r w:rsidR="000706B5" w:rsidRPr="003C6A03">
        <w:rPr>
          <w:sz w:val="20"/>
          <w:szCs w:val="20"/>
        </w:rPr>
        <w:t xml:space="preserve"> not apply to Red Rooster Foods Pty Ltd and any franchisee who was a respondent to the Red Rooster Award 2002</w:t>
      </w:r>
      <w:r w:rsidR="00FF0F17" w:rsidRPr="003C6A03">
        <w:rPr>
          <w:sz w:val="20"/>
          <w:szCs w:val="20"/>
        </w:rPr>
        <w:t xml:space="preserve"> as this </w:t>
      </w:r>
      <w:r w:rsidR="00D23244" w:rsidRPr="003C6A03">
        <w:rPr>
          <w:sz w:val="20"/>
          <w:szCs w:val="20"/>
        </w:rPr>
        <w:t>was an</w:t>
      </w:r>
      <w:r w:rsidR="00FF0F17" w:rsidRPr="003C6A03">
        <w:rPr>
          <w:sz w:val="20"/>
          <w:szCs w:val="20"/>
        </w:rPr>
        <w:t xml:space="preserve"> enterprise instrument (Item 2 of Division 1 Part 2 of Schedule 6 of the Fair Work (Transitional and Consequential Provisions) Act) and </w:t>
      </w:r>
      <w:r w:rsidR="00D23244" w:rsidRPr="003C6A03">
        <w:rPr>
          <w:sz w:val="20"/>
          <w:szCs w:val="20"/>
        </w:rPr>
        <w:t>was</w:t>
      </w:r>
      <w:r w:rsidR="00FF0F17" w:rsidRPr="003C6A03">
        <w:rPr>
          <w:sz w:val="20"/>
          <w:szCs w:val="20"/>
        </w:rPr>
        <w:t xml:space="preserve"> not covered by the Modern Fast Food Award and therefore subsection 202(2) d</w:t>
      </w:r>
      <w:r w:rsidR="00D23244" w:rsidRPr="003C6A03">
        <w:rPr>
          <w:sz w:val="20"/>
          <w:szCs w:val="20"/>
        </w:rPr>
        <w:t>id</w:t>
      </w:r>
      <w:r w:rsidR="00FF0F17" w:rsidRPr="003C6A03">
        <w:rPr>
          <w:sz w:val="20"/>
          <w:szCs w:val="20"/>
        </w:rPr>
        <w:t xml:space="preserve"> not apply</w:t>
      </w:r>
      <w:r w:rsidR="000706B5" w:rsidRPr="003C6A03">
        <w:rPr>
          <w:sz w:val="20"/>
          <w:szCs w:val="20"/>
        </w:rPr>
        <w:t>.</w:t>
      </w:r>
    </w:p>
    <w:p w14:paraId="4CDF321D" w14:textId="77777777" w:rsidR="000706B5" w:rsidRPr="000474A4" w:rsidRDefault="000706B5" w:rsidP="000474A4">
      <w:pPr>
        <w:pStyle w:val="Heading2"/>
        <w:rPr>
          <w:color w:val="auto"/>
        </w:rPr>
      </w:pPr>
      <w:r w:rsidRPr="000474A4">
        <w:rPr>
          <w:color w:val="auto"/>
        </w:rPr>
        <w:t>Methodology</w:t>
      </w:r>
      <w:r w:rsidR="003E4158" w:rsidRPr="000474A4">
        <w:rPr>
          <w:color w:val="auto"/>
        </w:rPr>
        <w:t xml:space="preserve"> and Imple</w:t>
      </w:r>
      <w:r w:rsidR="003E4158" w:rsidRPr="000474A4">
        <w:rPr>
          <w:rStyle w:val="Heading2Char"/>
          <w:color w:val="auto"/>
        </w:rPr>
        <w:t>m</w:t>
      </w:r>
      <w:r w:rsidR="003E4158" w:rsidRPr="000474A4">
        <w:rPr>
          <w:color w:val="auto"/>
        </w:rPr>
        <w:t>entation</w:t>
      </w:r>
    </w:p>
    <w:p w14:paraId="4CDF321E" w14:textId="77777777" w:rsidR="000706B5" w:rsidRPr="003C6A03" w:rsidRDefault="003D2DED" w:rsidP="00D52A1C">
      <w:pPr>
        <w:spacing w:line="240" w:lineRule="auto"/>
        <w:jc w:val="both"/>
        <w:rPr>
          <w:sz w:val="20"/>
          <w:szCs w:val="20"/>
        </w:rPr>
      </w:pPr>
      <w:r w:rsidRPr="003C6A03">
        <w:rPr>
          <w:sz w:val="20"/>
          <w:szCs w:val="20"/>
        </w:rPr>
        <w:t xml:space="preserve">The </w:t>
      </w:r>
      <w:r w:rsidR="00963404" w:rsidRPr="003C6A03">
        <w:rPr>
          <w:sz w:val="20"/>
          <w:szCs w:val="20"/>
        </w:rPr>
        <w:t xml:space="preserve">scope of the </w:t>
      </w:r>
      <w:r w:rsidRPr="003C6A03">
        <w:rPr>
          <w:sz w:val="20"/>
          <w:szCs w:val="20"/>
        </w:rPr>
        <w:t xml:space="preserve">audit </w:t>
      </w:r>
      <w:r w:rsidR="00963404" w:rsidRPr="003C6A03">
        <w:rPr>
          <w:sz w:val="20"/>
          <w:szCs w:val="20"/>
        </w:rPr>
        <w:t>related</w:t>
      </w:r>
      <w:r w:rsidRPr="003C6A03">
        <w:rPr>
          <w:sz w:val="20"/>
          <w:szCs w:val="20"/>
        </w:rPr>
        <w:t xml:space="preserve"> to Grade</w:t>
      </w:r>
      <w:r w:rsidR="00963404" w:rsidRPr="003C6A03">
        <w:rPr>
          <w:sz w:val="20"/>
          <w:szCs w:val="20"/>
        </w:rPr>
        <w:t>s</w:t>
      </w:r>
      <w:r w:rsidR="00BC3F0F">
        <w:rPr>
          <w:sz w:val="20"/>
          <w:szCs w:val="20"/>
        </w:rPr>
        <w:t xml:space="preserve"> 1, 2 and 3 C</w:t>
      </w:r>
      <w:r w:rsidRPr="003C6A03">
        <w:rPr>
          <w:sz w:val="20"/>
          <w:szCs w:val="20"/>
        </w:rPr>
        <w:t xml:space="preserve">rew </w:t>
      </w:r>
      <w:r w:rsidR="0033641E" w:rsidRPr="003C6A03">
        <w:rPr>
          <w:sz w:val="20"/>
          <w:szCs w:val="20"/>
        </w:rPr>
        <w:t>as defined in the</w:t>
      </w:r>
      <w:r w:rsidR="00963404" w:rsidRPr="003C6A03">
        <w:rPr>
          <w:sz w:val="20"/>
          <w:szCs w:val="20"/>
        </w:rPr>
        <w:t xml:space="preserve"> Red Rooster </w:t>
      </w:r>
      <w:r w:rsidR="002051B9">
        <w:rPr>
          <w:sz w:val="20"/>
          <w:szCs w:val="20"/>
        </w:rPr>
        <w:t>Agreement</w:t>
      </w:r>
      <w:r w:rsidR="00963404" w:rsidRPr="003C6A03">
        <w:rPr>
          <w:sz w:val="20"/>
          <w:szCs w:val="20"/>
        </w:rPr>
        <w:t xml:space="preserve"> 2009</w:t>
      </w:r>
      <w:r w:rsidR="00BC3F0F">
        <w:rPr>
          <w:sz w:val="20"/>
          <w:szCs w:val="20"/>
        </w:rPr>
        <w:t>.</w:t>
      </w:r>
      <w:r w:rsidR="00963404" w:rsidRPr="003C6A03">
        <w:rPr>
          <w:sz w:val="20"/>
          <w:szCs w:val="20"/>
        </w:rPr>
        <w:t xml:space="preserve"> </w:t>
      </w:r>
      <w:r w:rsidR="00BC3F0F">
        <w:rPr>
          <w:sz w:val="20"/>
          <w:szCs w:val="20"/>
        </w:rPr>
        <w:t xml:space="preserve">The audit included crew who were </w:t>
      </w:r>
      <w:r w:rsidRPr="003C6A03">
        <w:rPr>
          <w:sz w:val="20"/>
          <w:szCs w:val="20"/>
        </w:rPr>
        <w:t>employed by existing and current Red Rooster franchisees</w:t>
      </w:r>
      <w:r w:rsidR="0033641E" w:rsidRPr="003C6A03">
        <w:rPr>
          <w:sz w:val="20"/>
          <w:szCs w:val="20"/>
        </w:rPr>
        <w:t xml:space="preserve"> in respect of the period from January 2010 to 31 December 2011.  These</w:t>
      </w:r>
      <w:r w:rsidRPr="003C6A03">
        <w:rPr>
          <w:sz w:val="20"/>
          <w:szCs w:val="20"/>
        </w:rPr>
        <w:t xml:space="preserve"> </w:t>
      </w:r>
      <w:r w:rsidR="0033641E" w:rsidRPr="003C6A03">
        <w:rPr>
          <w:sz w:val="20"/>
          <w:szCs w:val="20"/>
        </w:rPr>
        <w:t xml:space="preserve">franchisees </w:t>
      </w:r>
      <w:r w:rsidR="00BC3F0F">
        <w:rPr>
          <w:sz w:val="20"/>
          <w:szCs w:val="20"/>
        </w:rPr>
        <w:t>were</w:t>
      </w:r>
      <w:r w:rsidRPr="003C6A03">
        <w:rPr>
          <w:sz w:val="20"/>
          <w:szCs w:val="20"/>
        </w:rPr>
        <w:t xml:space="preserve"> not respondents to the Red Rooster Aw</w:t>
      </w:r>
      <w:r w:rsidR="00D23244" w:rsidRPr="003C6A03">
        <w:rPr>
          <w:sz w:val="20"/>
          <w:szCs w:val="20"/>
        </w:rPr>
        <w:t>ard 2002</w:t>
      </w:r>
      <w:r w:rsidRPr="003C6A03">
        <w:rPr>
          <w:sz w:val="20"/>
          <w:szCs w:val="20"/>
        </w:rPr>
        <w:t>.</w:t>
      </w:r>
      <w:r w:rsidR="00963404" w:rsidRPr="003C6A03">
        <w:rPr>
          <w:sz w:val="20"/>
          <w:szCs w:val="20"/>
        </w:rPr>
        <w:t xml:space="preserve">  The audit was a “desk-top” audit undertaken by several certified practising Accountants employed by </w:t>
      </w:r>
      <w:proofErr w:type="spellStart"/>
      <w:r w:rsidR="00963404" w:rsidRPr="003C6A03">
        <w:rPr>
          <w:sz w:val="20"/>
          <w:szCs w:val="20"/>
        </w:rPr>
        <w:t>QSRH</w:t>
      </w:r>
      <w:proofErr w:type="spellEnd"/>
      <w:r w:rsidR="00963404" w:rsidRPr="003C6A03">
        <w:rPr>
          <w:sz w:val="20"/>
          <w:szCs w:val="20"/>
        </w:rPr>
        <w:t xml:space="preserve"> in their Perth, WA Office.</w:t>
      </w:r>
    </w:p>
    <w:p w14:paraId="4CDF321F" w14:textId="77777777" w:rsidR="00963404" w:rsidRPr="003C6A03" w:rsidRDefault="00963404" w:rsidP="00D52A1C">
      <w:pPr>
        <w:spacing w:line="240" w:lineRule="auto"/>
        <w:jc w:val="both"/>
        <w:rPr>
          <w:sz w:val="20"/>
          <w:szCs w:val="20"/>
        </w:rPr>
      </w:pPr>
      <w:r w:rsidRPr="003C6A03">
        <w:rPr>
          <w:sz w:val="20"/>
          <w:szCs w:val="20"/>
        </w:rPr>
        <w:t xml:space="preserve">All franchisees’ employee pay information for this period was manually input into an excel spread sheet by the franchisees and sent to the </w:t>
      </w:r>
      <w:proofErr w:type="spellStart"/>
      <w:r w:rsidRPr="003C6A03">
        <w:rPr>
          <w:sz w:val="20"/>
          <w:szCs w:val="20"/>
        </w:rPr>
        <w:t>QSRH</w:t>
      </w:r>
      <w:proofErr w:type="spellEnd"/>
      <w:r w:rsidRPr="003C6A03">
        <w:rPr>
          <w:sz w:val="20"/>
          <w:szCs w:val="20"/>
        </w:rPr>
        <w:t xml:space="preserve"> Accountants.  The Accountants imported the agree</w:t>
      </w:r>
      <w:r w:rsidR="002B6DB2" w:rsidRPr="003C6A03">
        <w:rPr>
          <w:sz w:val="20"/>
          <w:szCs w:val="20"/>
        </w:rPr>
        <w:t>d rates as set out in Appendix A1</w:t>
      </w:r>
      <w:r w:rsidRPr="003C6A03">
        <w:rPr>
          <w:sz w:val="20"/>
          <w:szCs w:val="20"/>
        </w:rPr>
        <w:t xml:space="preserve"> into the spread sheets and calculated any </w:t>
      </w:r>
      <w:r w:rsidR="00A22324" w:rsidRPr="003C6A03">
        <w:rPr>
          <w:sz w:val="20"/>
          <w:szCs w:val="20"/>
        </w:rPr>
        <w:t>contravention to the rates as set out in Appendix A1 the “</w:t>
      </w:r>
      <w:r w:rsidRPr="003C6A03">
        <w:rPr>
          <w:sz w:val="20"/>
          <w:szCs w:val="20"/>
        </w:rPr>
        <w:t>back pay liability</w:t>
      </w:r>
      <w:r w:rsidR="00A22324" w:rsidRPr="003C6A03">
        <w:rPr>
          <w:sz w:val="20"/>
          <w:szCs w:val="20"/>
        </w:rPr>
        <w:t>”</w:t>
      </w:r>
      <w:r w:rsidRPr="003C6A03">
        <w:rPr>
          <w:sz w:val="20"/>
          <w:szCs w:val="20"/>
        </w:rPr>
        <w:t xml:space="preserve">.  The completed spread sheets were then sent back to the franchisees </w:t>
      </w:r>
      <w:r w:rsidR="00A22324" w:rsidRPr="003C6A03">
        <w:rPr>
          <w:sz w:val="20"/>
          <w:szCs w:val="20"/>
        </w:rPr>
        <w:t xml:space="preserve">identifying the contravention and </w:t>
      </w:r>
      <w:r w:rsidRPr="003C6A03">
        <w:rPr>
          <w:sz w:val="20"/>
          <w:szCs w:val="20"/>
        </w:rPr>
        <w:t>showing the back pay liability for current and ex-employees.</w:t>
      </w:r>
    </w:p>
    <w:p w14:paraId="4CDF3220" w14:textId="77777777" w:rsidR="00D23244" w:rsidRPr="003C6A03" w:rsidRDefault="00D23244" w:rsidP="00D52A1C">
      <w:pPr>
        <w:spacing w:line="240" w:lineRule="auto"/>
        <w:jc w:val="both"/>
        <w:rPr>
          <w:sz w:val="20"/>
          <w:szCs w:val="20"/>
        </w:rPr>
      </w:pPr>
      <w:r w:rsidRPr="003C6A03">
        <w:rPr>
          <w:sz w:val="20"/>
          <w:szCs w:val="20"/>
        </w:rPr>
        <w:t xml:space="preserve">Franchisees subsequently provided payslip information to confirm back pays had been made to pre-determined email addresses direct to the </w:t>
      </w:r>
      <w:proofErr w:type="spellStart"/>
      <w:r w:rsidRPr="003C6A03">
        <w:rPr>
          <w:sz w:val="20"/>
          <w:szCs w:val="20"/>
        </w:rPr>
        <w:t>QSRH</w:t>
      </w:r>
      <w:proofErr w:type="spellEnd"/>
      <w:r w:rsidRPr="003C6A03">
        <w:rPr>
          <w:sz w:val="20"/>
          <w:szCs w:val="20"/>
        </w:rPr>
        <w:t xml:space="preserve"> Accountants for them to reconcile to the Liability Tracking Sheet (Appendix </w:t>
      </w:r>
      <w:proofErr w:type="spellStart"/>
      <w:r w:rsidRPr="003C6A03">
        <w:rPr>
          <w:sz w:val="20"/>
          <w:szCs w:val="20"/>
        </w:rPr>
        <w:t>A2</w:t>
      </w:r>
      <w:proofErr w:type="spellEnd"/>
      <w:r w:rsidRPr="003C6A03">
        <w:rPr>
          <w:sz w:val="20"/>
          <w:szCs w:val="20"/>
        </w:rPr>
        <w:t xml:space="preserve">).  </w:t>
      </w:r>
      <w:r w:rsidR="00A22324" w:rsidRPr="003C6A03">
        <w:rPr>
          <w:sz w:val="20"/>
          <w:szCs w:val="20"/>
        </w:rPr>
        <w:t xml:space="preserve">The Liability Tracking Sheet shows the results of the Self-Audit process and includes but is not limited to, the nature and quantum of each identified contravention which arose from the Self Audit process. </w:t>
      </w:r>
      <w:r w:rsidRPr="003C6A03">
        <w:rPr>
          <w:sz w:val="20"/>
          <w:szCs w:val="20"/>
        </w:rPr>
        <w:t xml:space="preserve">Copy payslips are provided in Appendix </w:t>
      </w:r>
      <w:proofErr w:type="spellStart"/>
      <w:r w:rsidRPr="003C6A03">
        <w:rPr>
          <w:sz w:val="20"/>
          <w:szCs w:val="20"/>
        </w:rPr>
        <w:t>A3</w:t>
      </w:r>
      <w:proofErr w:type="spellEnd"/>
      <w:r w:rsidRPr="003C6A03">
        <w:rPr>
          <w:sz w:val="20"/>
          <w:szCs w:val="20"/>
        </w:rPr>
        <w:t>.</w:t>
      </w:r>
    </w:p>
    <w:p w14:paraId="4CDF3221" w14:textId="77777777" w:rsidR="003452C6" w:rsidRPr="000474A4" w:rsidRDefault="003452C6" w:rsidP="000474A4">
      <w:pPr>
        <w:pStyle w:val="Heading2"/>
        <w:rPr>
          <w:color w:val="auto"/>
        </w:rPr>
      </w:pPr>
      <w:r w:rsidRPr="000474A4">
        <w:rPr>
          <w:color w:val="auto"/>
        </w:rPr>
        <w:t>Employee Reporting Process</w:t>
      </w:r>
    </w:p>
    <w:p w14:paraId="4CDF3222" w14:textId="77777777" w:rsidR="003D2DED" w:rsidRPr="003C6A03" w:rsidRDefault="007245D0" w:rsidP="00D52A1C">
      <w:pPr>
        <w:spacing w:line="240" w:lineRule="auto"/>
        <w:jc w:val="both"/>
        <w:rPr>
          <w:sz w:val="20"/>
          <w:szCs w:val="20"/>
        </w:rPr>
      </w:pPr>
      <w:r w:rsidRPr="003C6A03">
        <w:rPr>
          <w:sz w:val="20"/>
          <w:szCs w:val="20"/>
        </w:rPr>
        <w:t xml:space="preserve">Week commencing </w:t>
      </w:r>
      <w:r w:rsidR="004003BF" w:rsidRPr="003C6A03">
        <w:rPr>
          <w:sz w:val="20"/>
          <w:szCs w:val="20"/>
        </w:rPr>
        <w:t>20</w:t>
      </w:r>
      <w:r w:rsidR="00A16B16" w:rsidRPr="003C6A03">
        <w:rPr>
          <w:sz w:val="20"/>
          <w:szCs w:val="20"/>
        </w:rPr>
        <w:t xml:space="preserve"> February 2012 </w:t>
      </w:r>
      <w:r w:rsidR="002B6DB2" w:rsidRPr="003C6A03">
        <w:rPr>
          <w:sz w:val="20"/>
          <w:szCs w:val="20"/>
        </w:rPr>
        <w:t>an</w:t>
      </w:r>
      <w:r w:rsidR="0033641E" w:rsidRPr="003C6A03">
        <w:rPr>
          <w:sz w:val="20"/>
          <w:szCs w:val="20"/>
        </w:rPr>
        <w:t xml:space="preserve"> </w:t>
      </w:r>
      <w:r w:rsidR="003452C6" w:rsidRPr="003C6A03">
        <w:rPr>
          <w:sz w:val="20"/>
          <w:szCs w:val="20"/>
        </w:rPr>
        <w:t xml:space="preserve">“important </w:t>
      </w:r>
      <w:r w:rsidRPr="003C6A03">
        <w:rPr>
          <w:sz w:val="20"/>
          <w:szCs w:val="20"/>
        </w:rPr>
        <w:t>notice</w:t>
      </w:r>
      <w:r w:rsidR="003452C6" w:rsidRPr="003C6A03">
        <w:rPr>
          <w:sz w:val="20"/>
          <w:szCs w:val="20"/>
        </w:rPr>
        <w:t>”</w:t>
      </w:r>
      <w:r w:rsidRPr="003C6A03">
        <w:rPr>
          <w:sz w:val="20"/>
          <w:szCs w:val="20"/>
        </w:rPr>
        <w:t xml:space="preserve"> was posted on Red Rooster Foods Pty </w:t>
      </w:r>
      <w:proofErr w:type="spellStart"/>
      <w:r w:rsidRPr="003C6A03">
        <w:rPr>
          <w:sz w:val="20"/>
          <w:szCs w:val="20"/>
        </w:rPr>
        <w:t>Ltd</w:t>
      </w:r>
      <w:r w:rsidR="003452C6" w:rsidRPr="003C6A03">
        <w:rPr>
          <w:sz w:val="20"/>
          <w:szCs w:val="20"/>
        </w:rPr>
        <w:t>’s</w:t>
      </w:r>
      <w:proofErr w:type="spellEnd"/>
      <w:r w:rsidRPr="003C6A03">
        <w:rPr>
          <w:sz w:val="20"/>
          <w:szCs w:val="20"/>
        </w:rPr>
        <w:t xml:space="preserve"> on-line communication and training </w:t>
      </w:r>
      <w:r w:rsidR="003452C6" w:rsidRPr="003C6A03">
        <w:rPr>
          <w:sz w:val="20"/>
          <w:szCs w:val="20"/>
        </w:rPr>
        <w:t>platform</w:t>
      </w:r>
      <w:r w:rsidRPr="003C6A03">
        <w:rPr>
          <w:sz w:val="20"/>
          <w:szCs w:val="20"/>
        </w:rPr>
        <w:t xml:space="preserve"> </w:t>
      </w:r>
      <w:r w:rsidR="003452C6" w:rsidRPr="003C6A03">
        <w:rPr>
          <w:sz w:val="20"/>
          <w:szCs w:val="20"/>
        </w:rPr>
        <w:t>for Red Rooster franchisees and their employees who were covered by the Proactive C</w:t>
      </w:r>
      <w:r w:rsidR="002B6DB2" w:rsidRPr="003C6A03">
        <w:rPr>
          <w:sz w:val="20"/>
          <w:szCs w:val="20"/>
        </w:rPr>
        <w:t>ompliance Deed</w:t>
      </w:r>
      <w:r w:rsidR="003452C6" w:rsidRPr="003C6A03">
        <w:rPr>
          <w:sz w:val="20"/>
          <w:szCs w:val="20"/>
        </w:rPr>
        <w:t>.  S</w:t>
      </w:r>
      <w:r w:rsidRPr="003C6A03">
        <w:rPr>
          <w:sz w:val="20"/>
          <w:szCs w:val="20"/>
        </w:rPr>
        <w:t>pecific State and Territory emails were set up for employees to email their inquiries and concerns</w:t>
      </w:r>
      <w:r w:rsidR="003452C6" w:rsidRPr="003C6A03">
        <w:rPr>
          <w:sz w:val="20"/>
          <w:szCs w:val="20"/>
        </w:rPr>
        <w:t xml:space="preserve"> to</w:t>
      </w:r>
      <w:r w:rsidRPr="003C6A03">
        <w:rPr>
          <w:sz w:val="20"/>
          <w:szCs w:val="20"/>
        </w:rPr>
        <w:t>.</w:t>
      </w:r>
      <w:r w:rsidR="003452C6" w:rsidRPr="003C6A03">
        <w:rPr>
          <w:sz w:val="20"/>
          <w:szCs w:val="20"/>
        </w:rPr>
        <w:t xml:space="preserve"> The same franchisees were also requested to physically post this “important notice” in their outlets.</w:t>
      </w:r>
    </w:p>
    <w:p w14:paraId="4CDF3223" w14:textId="510D94A9" w:rsidR="005858A6" w:rsidRPr="003C6A03" w:rsidRDefault="003452C6" w:rsidP="00D52A1C">
      <w:pPr>
        <w:spacing w:line="240" w:lineRule="auto"/>
        <w:jc w:val="both"/>
        <w:rPr>
          <w:sz w:val="20"/>
          <w:szCs w:val="20"/>
        </w:rPr>
      </w:pPr>
      <w:r w:rsidRPr="003C6A03">
        <w:rPr>
          <w:sz w:val="20"/>
          <w:szCs w:val="20"/>
        </w:rPr>
        <w:t xml:space="preserve">There was a very </w:t>
      </w:r>
      <w:r w:rsidR="00BC3F0F">
        <w:rPr>
          <w:sz w:val="20"/>
          <w:szCs w:val="20"/>
        </w:rPr>
        <w:t>limited response to this notice</w:t>
      </w:r>
      <w:r w:rsidRPr="003C6A03">
        <w:rPr>
          <w:sz w:val="20"/>
          <w:szCs w:val="20"/>
        </w:rPr>
        <w:t xml:space="preserve"> only </w:t>
      </w:r>
      <w:r w:rsidR="0064660E" w:rsidRPr="003C6A03">
        <w:rPr>
          <w:sz w:val="20"/>
          <w:szCs w:val="20"/>
        </w:rPr>
        <w:t>4</w:t>
      </w:r>
      <w:r w:rsidR="007245D0" w:rsidRPr="003C6A03">
        <w:rPr>
          <w:sz w:val="20"/>
          <w:szCs w:val="20"/>
        </w:rPr>
        <w:t xml:space="preserve"> inquiries were received from </w:t>
      </w:r>
      <w:r w:rsidR="004003BF" w:rsidRPr="003C6A03">
        <w:rPr>
          <w:sz w:val="20"/>
          <w:szCs w:val="20"/>
        </w:rPr>
        <w:t>20</w:t>
      </w:r>
      <w:r w:rsidR="007245D0" w:rsidRPr="003C6A03">
        <w:rPr>
          <w:sz w:val="20"/>
          <w:szCs w:val="20"/>
        </w:rPr>
        <w:t xml:space="preserve"> February 2012 to </w:t>
      </w:r>
      <w:r w:rsidR="004003BF" w:rsidRPr="003C6A03">
        <w:rPr>
          <w:sz w:val="20"/>
          <w:szCs w:val="20"/>
        </w:rPr>
        <w:t>18</w:t>
      </w:r>
      <w:r w:rsidR="000474A4">
        <w:rPr>
          <w:sz w:val="20"/>
          <w:szCs w:val="20"/>
        </w:rPr>
        <w:t xml:space="preserve"> March 2012.</w:t>
      </w:r>
    </w:p>
    <w:p w14:paraId="4CDF3226" w14:textId="0776E818" w:rsidR="0064660E" w:rsidRPr="003C6A03" w:rsidRDefault="008B6B11" w:rsidP="003452C6">
      <w:pPr>
        <w:jc w:val="both"/>
        <w:rPr>
          <w:b/>
          <w:sz w:val="20"/>
          <w:szCs w:val="20"/>
        </w:rPr>
      </w:pPr>
      <w:r>
        <w:rPr>
          <w:b/>
          <w:noProof/>
          <w:sz w:val="20"/>
          <w:szCs w:val="20"/>
          <w:lang w:eastAsia="en-AU"/>
        </w:rPr>
        <w:lastRenderedPageBreak/>
        <w:drawing>
          <wp:inline distT="0" distB="0" distL="0" distR="0" wp14:anchorId="548BBC61" wp14:editId="45AFE1D1">
            <wp:extent cx="5048484" cy="6529697"/>
            <wp:effectExtent l="19050" t="19050" r="19050" b="24130"/>
            <wp:docPr id="3" name="Picture 3" descr="Written notice provided to employees about the review of pay by Quick Services Restaurant Holdings (a parent company of Red Rooster’s) and contact details." title="Notice provided to employ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ritten notice provided to employees about the review of pay by Quick Services Restaurant Holdings (a parent company of Red Rooster’s) and contact details." title="Notice provided to employe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8250" cy="6529070"/>
                    </a:xfrm>
                    <a:prstGeom prst="rect">
                      <a:avLst/>
                    </a:prstGeom>
                    <a:noFill/>
                    <a:ln>
                      <a:solidFill>
                        <a:schemeClr val="accent1"/>
                      </a:solidFill>
                    </a:ln>
                  </pic:spPr>
                </pic:pic>
              </a:graphicData>
            </a:graphic>
          </wp:inline>
        </w:drawing>
      </w:r>
    </w:p>
    <w:p w14:paraId="4CDF3227" w14:textId="77777777" w:rsidR="0033641E" w:rsidRPr="003C6A03" w:rsidRDefault="0033641E">
      <w:pPr>
        <w:rPr>
          <w:b/>
          <w:sz w:val="20"/>
          <w:szCs w:val="20"/>
        </w:rPr>
      </w:pPr>
      <w:r w:rsidRPr="003C6A03">
        <w:rPr>
          <w:b/>
          <w:sz w:val="20"/>
          <w:szCs w:val="20"/>
        </w:rPr>
        <w:br w:type="page"/>
      </w:r>
    </w:p>
    <w:p w14:paraId="4CDF3228" w14:textId="77777777" w:rsidR="007245D0" w:rsidRPr="000474A4" w:rsidRDefault="003E4158" w:rsidP="000474A4">
      <w:pPr>
        <w:pStyle w:val="Heading2"/>
        <w:rPr>
          <w:color w:val="auto"/>
        </w:rPr>
      </w:pPr>
      <w:r w:rsidRPr="000474A4">
        <w:rPr>
          <w:color w:val="auto"/>
        </w:rPr>
        <w:lastRenderedPageBreak/>
        <w:t>Results and Progress of the Self-Audit Process</w:t>
      </w:r>
    </w:p>
    <w:p w14:paraId="4CDF3229" w14:textId="77777777" w:rsidR="00A22324" w:rsidRPr="003C6A03" w:rsidRDefault="00A22324" w:rsidP="00D52A1C">
      <w:pPr>
        <w:spacing w:line="240" w:lineRule="auto"/>
        <w:jc w:val="both"/>
        <w:rPr>
          <w:rFonts w:ascii="Calibri" w:hAnsi="Calibri" w:cs="Calibri"/>
          <w:sz w:val="20"/>
          <w:szCs w:val="20"/>
        </w:rPr>
      </w:pPr>
      <w:proofErr w:type="spellStart"/>
      <w:r w:rsidRPr="003C6A03">
        <w:rPr>
          <w:rFonts w:ascii="Calibri" w:hAnsi="Calibri" w:cs="Calibri"/>
          <w:sz w:val="20"/>
          <w:szCs w:val="20"/>
        </w:rPr>
        <w:t>QSRH</w:t>
      </w:r>
      <w:proofErr w:type="spellEnd"/>
      <w:r w:rsidRPr="003C6A03">
        <w:rPr>
          <w:rFonts w:ascii="Calibri" w:hAnsi="Calibri" w:cs="Calibri"/>
          <w:sz w:val="20"/>
          <w:szCs w:val="20"/>
        </w:rPr>
        <w:t xml:space="preserve"> has committed all necessary resources, financial or otherwise and has met all necessary expenses associated with the effective implementation of this Deed.  </w:t>
      </w:r>
      <w:proofErr w:type="spellStart"/>
      <w:r w:rsidRPr="003C6A03">
        <w:rPr>
          <w:rFonts w:ascii="Calibri" w:hAnsi="Calibri" w:cs="Calibri"/>
          <w:sz w:val="20"/>
          <w:szCs w:val="20"/>
        </w:rPr>
        <w:t>QSRH</w:t>
      </w:r>
      <w:proofErr w:type="spellEnd"/>
      <w:r w:rsidRPr="003C6A03">
        <w:rPr>
          <w:rFonts w:ascii="Calibri" w:hAnsi="Calibri" w:cs="Calibri"/>
          <w:sz w:val="20"/>
          <w:szCs w:val="20"/>
        </w:rPr>
        <w:t xml:space="preserve"> encouraged those Red Rooster franchisees to rectify where contraventions have been identified.  This has been through a process of </w:t>
      </w:r>
      <w:r w:rsidR="008261AA" w:rsidRPr="003C6A03">
        <w:rPr>
          <w:rFonts w:ascii="Calibri" w:hAnsi="Calibri" w:cs="Calibri"/>
          <w:sz w:val="20"/>
          <w:szCs w:val="20"/>
        </w:rPr>
        <w:t>constant communication</w:t>
      </w:r>
      <w:r w:rsidRPr="003C6A03">
        <w:rPr>
          <w:rFonts w:ascii="Calibri" w:hAnsi="Calibri" w:cs="Calibri"/>
          <w:sz w:val="20"/>
          <w:szCs w:val="20"/>
        </w:rPr>
        <w:t xml:space="preserve"> with individual franchisees via </w:t>
      </w:r>
      <w:r w:rsidR="008261AA" w:rsidRPr="003C6A03">
        <w:rPr>
          <w:rFonts w:ascii="Calibri" w:hAnsi="Calibri" w:cs="Calibri"/>
          <w:sz w:val="20"/>
          <w:szCs w:val="20"/>
        </w:rPr>
        <w:t xml:space="preserve">email, </w:t>
      </w:r>
      <w:r w:rsidRPr="003C6A03">
        <w:rPr>
          <w:rFonts w:ascii="Calibri" w:hAnsi="Calibri" w:cs="Calibri"/>
          <w:sz w:val="20"/>
          <w:szCs w:val="20"/>
        </w:rPr>
        <w:t xml:space="preserve">one on one conversations, webinars, </w:t>
      </w:r>
      <w:proofErr w:type="gramStart"/>
      <w:r w:rsidR="008261AA" w:rsidRPr="003C6A03">
        <w:rPr>
          <w:rFonts w:ascii="Calibri" w:hAnsi="Calibri" w:cs="Calibri"/>
          <w:sz w:val="20"/>
          <w:szCs w:val="20"/>
        </w:rPr>
        <w:t>road</w:t>
      </w:r>
      <w:proofErr w:type="gramEnd"/>
      <w:r w:rsidRPr="003C6A03">
        <w:rPr>
          <w:rFonts w:ascii="Calibri" w:hAnsi="Calibri" w:cs="Calibri"/>
          <w:sz w:val="20"/>
          <w:szCs w:val="20"/>
        </w:rPr>
        <w:t xml:space="preserve"> shows and via their State Managers and regional field support teams from February 2012 to </w:t>
      </w:r>
      <w:r w:rsidR="0033641E" w:rsidRPr="003C6A03">
        <w:rPr>
          <w:rFonts w:ascii="Calibri" w:hAnsi="Calibri" w:cs="Calibri"/>
          <w:sz w:val="20"/>
          <w:szCs w:val="20"/>
        </w:rPr>
        <w:t>date</w:t>
      </w:r>
      <w:r w:rsidRPr="003C6A03">
        <w:rPr>
          <w:rFonts w:ascii="Calibri" w:hAnsi="Calibri" w:cs="Calibri"/>
          <w:sz w:val="20"/>
          <w:szCs w:val="20"/>
        </w:rPr>
        <w:t xml:space="preserve">.  </w:t>
      </w:r>
    </w:p>
    <w:p w14:paraId="4CDF322A" w14:textId="4CF59CA8" w:rsidR="00963404" w:rsidRPr="003C6A03" w:rsidRDefault="00963404" w:rsidP="00D52A1C">
      <w:pPr>
        <w:spacing w:line="240" w:lineRule="auto"/>
        <w:jc w:val="both"/>
        <w:rPr>
          <w:rFonts w:ascii="Calibri" w:hAnsi="Calibri" w:cs="Calibri"/>
          <w:sz w:val="20"/>
          <w:szCs w:val="20"/>
        </w:rPr>
      </w:pPr>
      <w:r w:rsidRPr="003C6A03">
        <w:rPr>
          <w:rFonts w:ascii="Calibri" w:hAnsi="Calibri" w:cs="Calibri"/>
          <w:sz w:val="20"/>
          <w:szCs w:val="20"/>
        </w:rPr>
        <w:t>The total amount of back pay liability for the Red Rooster fra</w:t>
      </w:r>
      <w:r w:rsidR="002B6DB2" w:rsidRPr="003C6A03">
        <w:rPr>
          <w:rFonts w:ascii="Calibri" w:hAnsi="Calibri" w:cs="Calibri"/>
          <w:sz w:val="20"/>
          <w:szCs w:val="20"/>
        </w:rPr>
        <w:t xml:space="preserve">nchisees as listed in Appendix </w:t>
      </w:r>
      <w:proofErr w:type="spellStart"/>
      <w:r w:rsidR="002B6DB2" w:rsidRPr="003C6A03">
        <w:rPr>
          <w:rFonts w:ascii="Calibri" w:hAnsi="Calibri" w:cs="Calibri"/>
          <w:sz w:val="20"/>
          <w:szCs w:val="20"/>
        </w:rPr>
        <w:t>A2</w:t>
      </w:r>
      <w:proofErr w:type="spellEnd"/>
      <w:r w:rsidRPr="003C6A03">
        <w:rPr>
          <w:rFonts w:ascii="Calibri" w:hAnsi="Calibri" w:cs="Calibri"/>
          <w:sz w:val="20"/>
          <w:szCs w:val="20"/>
        </w:rPr>
        <w:t xml:space="preserve"> for the period January 2010 to December 2011 (audit period) totals $</w:t>
      </w:r>
      <w:r w:rsidR="00C777F6" w:rsidRPr="003C6A03">
        <w:rPr>
          <w:rFonts w:cstheme="minorHAnsi"/>
          <w:sz w:val="20"/>
          <w:szCs w:val="20"/>
        </w:rPr>
        <w:t>645,253</w:t>
      </w:r>
      <w:r w:rsidR="0033641E" w:rsidRPr="003C6A03">
        <w:rPr>
          <w:rFonts w:cstheme="minorHAnsi"/>
          <w:sz w:val="20"/>
          <w:szCs w:val="20"/>
        </w:rPr>
        <w:t xml:space="preserve">.  </w:t>
      </w:r>
      <w:r w:rsidR="0033641E" w:rsidRPr="003C6A03">
        <w:rPr>
          <w:rFonts w:ascii="Calibri" w:hAnsi="Calibri" w:cs="Calibri"/>
          <w:sz w:val="20"/>
          <w:szCs w:val="20"/>
        </w:rPr>
        <w:t xml:space="preserve"> The total amount repaid as at </w:t>
      </w:r>
      <w:r w:rsidR="00486180">
        <w:rPr>
          <w:rFonts w:ascii="Calibri" w:hAnsi="Calibri" w:cs="Calibri"/>
          <w:sz w:val="20"/>
          <w:szCs w:val="20"/>
        </w:rPr>
        <w:t>19 June</w:t>
      </w:r>
      <w:r w:rsidR="0033641E" w:rsidRPr="003C6A03">
        <w:rPr>
          <w:rFonts w:ascii="Calibri" w:hAnsi="Calibri" w:cs="Calibri"/>
          <w:sz w:val="20"/>
          <w:szCs w:val="20"/>
        </w:rPr>
        <w:t xml:space="preserve"> 2014 is </w:t>
      </w:r>
      <w:r w:rsidRPr="003C6A03">
        <w:rPr>
          <w:rFonts w:ascii="Calibri" w:hAnsi="Calibri" w:cs="Calibri"/>
          <w:sz w:val="20"/>
          <w:szCs w:val="20"/>
        </w:rPr>
        <w:t>$</w:t>
      </w:r>
      <w:r w:rsidR="00486180" w:rsidRPr="00486180">
        <w:rPr>
          <w:rFonts w:ascii="Calibri" w:hAnsi="Calibri" w:cs="Calibri"/>
          <w:sz w:val="20"/>
          <w:szCs w:val="20"/>
        </w:rPr>
        <w:t>346,285</w:t>
      </w:r>
      <w:r w:rsidRPr="003C6A03">
        <w:rPr>
          <w:rFonts w:ascii="Calibri" w:hAnsi="Calibri" w:cs="Calibri"/>
          <w:sz w:val="20"/>
          <w:szCs w:val="20"/>
        </w:rPr>
        <w:t>, copy payslips are provided where back pays have been made</w:t>
      </w:r>
      <w:r w:rsidR="0033641E" w:rsidRPr="003C6A03">
        <w:rPr>
          <w:rFonts w:ascii="Calibri" w:hAnsi="Calibri" w:cs="Calibri"/>
          <w:sz w:val="20"/>
          <w:szCs w:val="20"/>
        </w:rPr>
        <w:t xml:space="preserve"> (Appendix </w:t>
      </w:r>
      <w:proofErr w:type="spellStart"/>
      <w:r w:rsidR="0033641E" w:rsidRPr="003C6A03">
        <w:rPr>
          <w:rFonts w:ascii="Calibri" w:hAnsi="Calibri" w:cs="Calibri"/>
          <w:sz w:val="20"/>
          <w:szCs w:val="20"/>
        </w:rPr>
        <w:t>A3</w:t>
      </w:r>
      <w:proofErr w:type="spellEnd"/>
      <w:r w:rsidR="0033641E" w:rsidRPr="003C6A03">
        <w:rPr>
          <w:rFonts w:ascii="Calibri" w:hAnsi="Calibri" w:cs="Calibri"/>
          <w:sz w:val="20"/>
          <w:szCs w:val="20"/>
        </w:rPr>
        <w:t>)</w:t>
      </w:r>
      <w:r w:rsidRPr="003C6A03">
        <w:rPr>
          <w:rFonts w:ascii="Calibri" w:hAnsi="Calibri" w:cs="Calibri"/>
          <w:sz w:val="20"/>
          <w:szCs w:val="20"/>
        </w:rPr>
        <w:t>.</w:t>
      </w:r>
    </w:p>
    <w:p w14:paraId="4CDF322B" w14:textId="77777777" w:rsidR="004F514F" w:rsidRPr="003C6A03" w:rsidRDefault="00963404" w:rsidP="00D52A1C">
      <w:pPr>
        <w:spacing w:line="240" w:lineRule="auto"/>
        <w:jc w:val="both"/>
        <w:rPr>
          <w:sz w:val="20"/>
          <w:szCs w:val="20"/>
        </w:rPr>
      </w:pPr>
      <w:r w:rsidRPr="003C6A03">
        <w:rPr>
          <w:sz w:val="20"/>
          <w:szCs w:val="20"/>
        </w:rPr>
        <w:t>The table below provides a summary of the final results in terms of completed audits and back pay rectification.</w:t>
      </w:r>
    </w:p>
    <w:tbl>
      <w:tblPr>
        <w:tblW w:w="0" w:type="auto"/>
        <w:tblCellMar>
          <w:left w:w="0" w:type="dxa"/>
          <w:right w:w="0" w:type="dxa"/>
        </w:tblCellMar>
        <w:tblLook w:val="04A0" w:firstRow="1" w:lastRow="0" w:firstColumn="1" w:lastColumn="0" w:noHBand="0" w:noVBand="1"/>
      </w:tblPr>
      <w:tblGrid>
        <w:gridCol w:w="1775"/>
        <w:gridCol w:w="2268"/>
        <w:gridCol w:w="2897"/>
      </w:tblGrid>
      <w:tr w:rsidR="00B46E50" w:rsidRPr="00486180" w14:paraId="2373D0B9" w14:textId="77777777" w:rsidTr="007C73A8">
        <w:trPr>
          <w:trHeight w:val="423"/>
          <w:tblHeader/>
        </w:trPr>
        <w:tc>
          <w:tcPr>
            <w:tcW w:w="17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4C8EE8" w14:textId="77777777" w:rsidR="00B46E50" w:rsidRPr="00486180" w:rsidRDefault="00B46E50" w:rsidP="00486180">
            <w:pPr>
              <w:spacing w:before="120" w:after="0"/>
              <w:rPr>
                <w:rFonts w:ascii="Arial" w:eastAsia="Calibri" w:hAnsi="Arial" w:cs="Arial"/>
                <w:sz w:val="24"/>
                <w:szCs w:val="24"/>
              </w:rPr>
            </w:pP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7B29E3E" w14:textId="77777777" w:rsidR="00B46E50" w:rsidRPr="00486180" w:rsidRDefault="00B46E50" w:rsidP="00486180">
            <w:pPr>
              <w:spacing w:before="120" w:after="0"/>
              <w:rPr>
                <w:rFonts w:ascii="Arial" w:eastAsia="Calibri" w:hAnsi="Arial" w:cs="Arial"/>
                <w:b/>
                <w:bCs/>
                <w:sz w:val="24"/>
                <w:szCs w:val="24"/>
              </w:rPr>
            </w:pPr>
            <w:r w:rsidRPr="00486180">
              <w:rPr>
                <w:rFonts w:ascii="Calibri" w:eastAsia="Calibri" w:hAnsi="Calibri" w:cs="Calibri"/>
                <w:b/>
                <w:bCs/>
                <w:sz w:val="24"/>
                <w:szCs w:val="24"/>
              </w:rPr>
              <w:t xml:space="preserve">Total employees </w:t>
            </w:r>
          </w:p>
        </w:tc>
        <w:tc>
          <w:tcPr>
            <w:tcW w:w="289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A6D7024" w14:textId="77777777" w:rsidR="00B46E50" w:rsidRPr="00486180" w:rsidRDefault="00B46E50" w:rsidP="00486180">
            <w:pPr>
              <w:spacing w:before="120" w:after="0"/>
              <w:rPr>
                <w:rFonts w:ascii="Arial" w:eastAsia="Calibri" w:hAnsi="Arial" w:cs="Arial"/>
                <w:b/>
                <w:bCs/>
                <w:sz w:val="24"/>
                <w:szCs w:val="24"/>
              </w:rPr>
            </w:pPr>
            <w:r w:rsidRPr="00486180">
              <w:rPr>
                <w:rFonts w:ascii="Calibri" w:eastAsia="Calibri" w:hAnsi="Calibri" w:cs="Calibri"/>
                <w:b/>
                <w:bCs/>
                <w:sz w:val="24"/>
                <w:szCs w:val="24"/>
              </w:rPr>
              <w:t>Total underpayments</w:t>
            </w:r>
          </w:p>
        </w:tc>
      </w:tr>
      <w:tr w:rsidR="00B46E50" w:rsidRPr="00486180" w14:paraId="68E37C45" w14:textId="77777777" w:rsidTr="00486180">
        <w:tc>
          <w:tcPr>
            <w:tcW w:w="17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1B132A" w14:textId="77777777" w:rsidR="00B46E50" w:rsidRPr="00486180" w:rsidRDefault="00B46E50" w:rsidP="00486180">
            <w:pPr>
              <w:spacing w:before="120" w:after="0"/>
              <w:rPr>
                <w:rFonts w:ascii="Arial" w:eastAsia="Calibri" w:hAnsi="Arial" w:cs="Arial"/>
                <w:b/>
                <w:bCs/>
                <w:sz w:val="24"/>
                <w:szCs w:val="24"/>
              </w:rPr>
            </w:pPr>
            <w:r w:rsidRPr="00486180">
              <w:rPr>
                <w:rFonts w:ascii="Calibri" w:eastAsia="Calibri" w:hAnsi="Calibri" w:cs="Calibri"/>
                <w:b/>
                <w:bCs/>
                <w:sz w:val="24"/>
                <w:szCs w:val="24"/>
              </w:rPr>
              <w:t>Audits completed</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58A73C79" w14:textId="77777777" w:rsidR="00B46E50" w:rsidRPr="00486180" w:rsidRDefault="00B46E50" w:rsidP="00486180">
            <w:pPr>
              <w:spacing w:before="120" w:after="0"/>
              <w:jc w:val="center"/>
              <w:rPr>
                <w:rFonts w:ascii="Arial" w:eastAsia="Calibri" w:hAnsi="Arial" w:cs="Arial"/>
                <w:sz w:val="24"/>
                <w:szCs w:val="24"/>
              </w:rPr>
            </w:pPr>
            <w:r w:rsidRPr="00486180">
              <w:rPr>
                <w:rFonts w:ascii="Calibri" w:eastAsia="Calibri" w:hAnsi="Calibri" w:cs="Calibri"/>
                <w:sz w:val="24"/>
                <w:szCs w:val="24"/>
              </w:rPr>
              <w:t>3 140</w:t>
            </w:r>
          </w:p>
        </w:tc>
        <w:tc>
          <w:tcPr>
            <w:tcW w:w="2897" w:type="dxa"/>
            <w:tcBorders>
              <w:top w:val="nil"/>
              <w:left w:val="nil"/>
              <w:bottom w:val="single" w:sz="8" w:space="0" w:color="000000"/>
              <w:right w:val="single" w:sz="8" w:space="0" w:color="000000"/>
            </w:tcBorders>
            <w:tcMar>
              <w:top w:w="0" w:type="dxa"/>
              <w:left w:w="108" w:type="dxa"/>
              <w:bottom w:w="0" w:type="dxa"/>
              <w:right w:w="108" w:type="dxa"/>
            </w:tcMar>
            <w:hideMark/>
          </w:tcPr>
          <w:p w14:paraId="22C7DFDA" w14:textId="77777777" w:rsidR="00B46E50" w:rsidRPr="00486180" w:rsidRDefault="00B46E50" w:rsidP="00486180">
            <w:pPr>
              <w:spacing w:before="120" w:after="0"/>
              <w:jc w:val="center"/>
              <w:rPr>
                <w:rFonts w:ascii="Arial" w:eastAsia="Calibri" w:hAnsi="Arial" w:cs="Arial"/>
                <w:sz w:val="24"/>
                <w:szCs w:val="24"/>
              </w:rPr>
            </w:pPr>
            <w:r w:rsidRPr="00486180">
              <w:rPr>
                <w:rFonts w:ascii="Calibri" w:eastAsia="Calibri" w:hAnsi="Calibri" w:cs="Calibri"/>
                <w:sz w:val="24"/>
                <w:szCs w:val="24"/>
              </w:rPr>
              <w:t>$645 253</w:t>
            </w:r>
          </w:p>
        </w:tc>
      </w:tr>
      <w:tr w:rsidR="00B46E50" w:rsidRPr="00486180" w14:paraId="684E7906" w14:textId="77777777" w:rsidTr="00486180">
        <w:tc>
          <w:tcPr>
            <w:tcW w:w="17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23473E" w14:textId="77777777" w:rsidR="00B46E50" w:rsidRPr="00486180" w:rsidRDefault="00B46E50" w:rsidP="00486180">
            <w:pPr>
              <w:spacing w:before="120" w:after="0"/>
              <w:rPr>
                <w:rFonts w:ascii="Arial" w:eastAsia="Calibri" w:hAnsi="Arial" w:cs="Arial"/>
                <w:b/>
                <w:bCs/>
                <w:sz w:val="24"/>
                <w:szCs w:val="24"/>
              </w:rPr>
            </w:pPr>
            <w:r w:rsidRPr="00486180">
              <w:rPr>
                <w:rFonts w:ascii="Calibri" w:eastAsia="Calibri" w:hAnsi="Calibri" w:cs="Calibri"/>
                <w:b/>
                <w:bCs/>
                <w:sz w:val="24"/>
                <w:szCs w:val="24"/>
              </w:rPr>
              <w:t>Back payments completed</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2A83BBF1" w14:textId="77777777" w:rsidR="00B46E50" w:rsidRPr="00486180" w:rsidRDefault="00B46E50" w:rsidP="00486180">
            <w:pPr>
              <w:spacing w:before="120" w:after="0"/>
              <w:jc w:val="center"/>
              <w:rPr>
                <w:rFonts w:ascii="Arial" w:eastAsia="Calibri" w:hAnsi="Arial" w:cs="Arial"/>
                <w:sz w:val="24"/>
                <w:szCs w:val="24"/>
              </w:rPr>
            </w:pPr>
            <w:r w:rsidRPr="00486180">
              <w:rPr>
                <w:rFonts w:ascii="Calibri" w:eastAsia="Calibri" w:hAnsi="Calibri" w:cs="Calibri"/>
                <w:sz w:val="24"/>
                <w:szCs w:val="24"/>
              </w:rPr>
              <w:t>1206</w:t>
            </w:r>
          </w:p>
        </w:tc>
        <w:tc>
          <w:tcPr>
            <w:tcW w:w="2897" w:type="dxa"/>
            <w:tcBorders>
              <w:top w:val="nil"/>
              <w:left w:val="nil"/>
              <w:bottom w:val="single" w:sz="8" w:space="0" w:color="000000"/>
              <w:right w:val="single" w:sz="8" w:space="0" w:color="000000"/>
            </w:tcBorders>
            <w:tcMar>
              <w:top w:w="0" w:type="dxa"/>
              <w:left w:w="108" w:type="dxa"/>
              <w:bottom w:w="0" w:type="dxa"/>
              <w:right w:w="108" w:type="dxa"/>
            </w:tcMar>
            <w:hideMark/>
          </w:tcPr>
          <w:p w14:paraId="1ACDE81E" w14:textId="77777777" w:rsidR="00B46E50" w:rsidRPr="00486180" w:rsidRDefault="00B46E50" w:rsidP="00486180">
            <w:pPr>
              <w:spacing w:before="120" w:after="0"/>
              <w:jc w:val="center"/>
              <w:rPr>
                <w:rFonts w:ascii="Arial" w:eastAsia="Calibri" w:hAnsi="Arial" w:cs="Arial"/>
                <w:sz w:val="24"/>
                <w:szCs w:val="24"/>
              </w:rPr>
            </w:pPr>
            <w:r w:rsidRPr="00486180">
              <w:rPr>
                <w:rFonts w:ascii="Calibri" w:eastAsia="Calibri" w:hAnsi="Calibri" w:cs="Calibri"/>
                <w:sz w:val="24"/>
                <w:szCs w:val="24"/>
              </w:rPr>
              <w:t>$346,285</w:t>
            </w:r>
          </w:p>
        </w:tc>
      </w:tr>
      <w:tr w:rsidR="00B46E50" w:rsidRPr="00486180" w14:paraId="0B5578D8" w14:textId="77777777" w:rsidTr="00486180">
        <w:tc>
          <w:tcPr>
            <w:tcW w:w="17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85C8E0" w14:textId="3504FD4A" w:rsidR="00B46E50" w:rsidRPr="00486180" w:rsidRDefault="00B46E50" w:rsidP="00B46E50">
            <w:pPr>
              <w:spacing w:before="120" w:after="0"/>
              <w:rPr>
                <w:rFonts w:ascii="Calibri" w:eastAsia="Calibri" w:hAnsi="Calibri" w:cs="Calibri"/>
                <w:b/>
                <w:bCs/>
                <w:sz w:val="24"/>
                <w:szCs w:val="24"/>
              </w:rPr>
            </w:pPr>
            <w:r w:rsidRPr="00486180">
              <w:rPr>
                <w:rFonts w:ascii="Calibri" w:eastAsia="Calibri" w:hAnsi="Calibri" w:cs="Calibri"/>
                <w:b/>
                <w:bCs/>
                <w:sz w:val="24"/>
                <w:szCs w:val="24"/>
              </w:rPr>
              <w:t xml:space="preserve">Back payments in progress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6053B26E" w14:textId="77777777" w:rsidR="00B46E50" w:rsidRPr="00486180" w:rsidRDefault="00B46E50" w:rsidP="00486180">
            <w:pPr>
              <w:spacing w:before="120" w:after="0"/>
              <w:jc w:val="center"/>
              <w:rPr>
                <w:rFonts w:ascii="Calibri" w:eastAsia="Calibri" w:hAnsi="Calibri" w:cs="Calibri"/>
                <w:sz w:val="24"/>
                <w:szCs w:val="24"/>
              </w:rPr>
            </w:pPr>
            <w:r w:rsidRPr="00486180">
              <w:rPr>
                <w:rFonts w:ascii="Calibri" w:eastAsia="Calibri" w:hAnsi="Calibri" w:cs="Calibri"/>
                <w:sz w:val="24"/>
                <w:szCs w:val="24"/>
              </w:rPr>
              <w:t>1934</w:t>
            </w:r>
          </w:p>
        </w:tc>
        <w:tc>
          <w:tcPr>
            <w:tcW w:w="2897" w:type="dxa"/>
            <w:tcBorders>
              <w:top w:val="nil"/>
              <w:left w:val="nil"/>
              <w:bottom w:val="single" w:sz="8" w:space="0" w:color="000000"/>
              <w:right w:val="single" w:sz="8" w:space="0" w:color="000000"/>
            </w:tcBorders>
            <w:tcMar>
              <w:top w:w="0" w:type="dxa"/>
              <w:left w:w="108" w:type="dxa"/>
              <w:bottom w:w="0" w:type="dxa"/>
              <w:right w:w="108" w:type="dxa"/>
            </w:tcMar>
            <w:hideMark/>
          </w:tcPr>
          <w:p w14:paraId="05F10B91" w14:textId="77777777" w:rsidR="00B46E50" w:rsidRPr="00486180" w:rsidRDefault="00B46E50" w:rsidP="00486180">
            <w:pPr>
              <w:spacing w:before="120" w:after="0"/>
              <w:jc w:val="center"/>
              <w:rPr>
                <w:rFonts w:ascii="Calibri" w:eastAsia="Calibri" w:hAnsi="Calibri" w:cs="Calibri"/>
                <w:sz w:val="24"/>
                <w:szCs w:val="24"/>
              </w:rPr>
            </w:pPr>
            <w:r w:rsidRPr="00486180">
              <w:rPr>
                <w:rFonts w:ascii="Calibri" w:eastAsia="Calibri" w:hAnsi="Calibri" w:cs="Calibri"/>
                <w:sz w:val="24"/>
                <w:szCs w:val="24"/>
              </w:rPr>
              <w:t>$298,968</w:t>
            </w:r>
          </w:p>
        </w:tc>
      </w:tr>
    </w:tbl>
    <w:p w14:paraId="4CDF3247" w14:textId="77777777" w:rsidR="00D52A1C" w:rsidRPr="000474A4" w:rsidRDefault="00D52A1C" w:rsidP="000474A4">
      <w:pPr>
        <w:pStyle w:val="Heading2"/>
        <w:rPr>
          <w:color w:val="auto"/>
        </w:rPr>
      </w:pPr>
      <w:r w:rsidRPr="000474A4">
        <w:rPr>
          <w:color w:val="auto"/>
        </w:rPr>
        <w:t>Conclusions/Observations</w:t>
      </w:r>
    </w:p>
    <w:p w14:paraId="4CDF3249" w14:textId="3EC0FB99" w:rsidR="00D52A1C" w:rsidRPr="003C6A03" w:rsidRDefault="00D52A1C" w:rsidP="00FF2046">
      <w:pPr>
        <w:spacing w:after="0" w:line="240" w:lineRule="auto"/>
        <w:jc w:val="both"/>
        <w:rPr>
          <w:sz w:val="20"/>
          <w:szCs w:val="20"/>
        </w:rPr>
      </w:pPr>
      <w:proofErr w:type="spellStart"/>
      <w:r w:rsidRPr="003C6A03">
        <w:rPr>
          <w:sz w:val="20"/>
          <w:szCs w:val="20"/>
        </w:rPr>
        <w:t>QSRH</w:t>
      </w:r>
      <w:proofErr w:type="spellEnd"/>
      <w:r w:rsidRPr="003C6A03">
        <w:rPr>
          <w:sz w:val="20"/>
          <w:szCs w:val="20"/>
        </w:rPr>
        <w:t xml:space="preserve"> on behalf of its Red Rooster </w:t>
      </w:r>
      <w:r w:rsidR="0064660E" w:rsidRPr="003C6A03">
        <w:rPr>
          <w:sz w:val="20"/>
          <w:szCs w:val="20"/>
        </w:rPr>
        <w:t>franchisees</w:t>
      </w:r>
      <w:r w:rsidRPr="003C6A03">
        <w:rPr>
          <w:sz w:val="20"/>
          <w:szCs w:val="20"/>
        </w:rPr>
        <w:t xml:space="preserve"> would like to state, for the record, that it was never their intention to underpay their employees. Their understanding was that they were meeting their employer obligations under the Red Rooster </w:t>
      </w:r>
      <w:r w:rsidR="002051B9">
        <w:rPr>
          <w:sz w:val="20"/>
          <w:szCs w:val="20"/>
        </w:rPr>
        <w:t>Agreement</w:t>
      </w:r>
      <w:r w:rsidRPr="003C6A03">
        <w:rPr>
          <w:sz w:val="20"/>
          <w:szCs w:val="20"/>
        </w:rPr>
        <w:t xml:space="preserve"> 2009 by paying the amounts specified in this </w:t>
      </w:r>
      <w:r w:rsidR="002051B9">
        <w:rPr>
          <w:sz w:val="20"/>
          <w:szCs w:val="20"/>
        </w:rPr>
        <w:t>Agreement</w:t>
      </w:r>
      <w:r w:rsidRPr="003C6A03">
        <w:rPr>
          <w:sz w:val="20"/>
          <w:szCs w:val="20"/>
        </w:rPr>
        <w:t xml:space="preserve">. </w:t>
      </w:r>
      <w:r w:rsidR="002B6DB2" w:rsidRPr="003C6A03">
        <w:rPr>
          <w:sz w:val="20"/>
          <w:szCs w:val="20"/>
        </w:rPr>
        <w:t xml:space="preserve">  </w:t>
      </w:r>
      <w:r w:rsidRPr="003C6A03">
        <w:rPr>
          <w:sz w:val="20"/>
          <w:szCs w:val="20"/>
        </w:rPr>
        <w:t>There was no resistance fr</w:t>
      </w:r>
      <w:r w:rsidR="002B6DB2" w:rsidRPr="003C6A03">
        <w:rPr>
          <w:sz w:val="20"/>
          <w:szCs w:val="20"/>
        </w:rPr>
        <w:t>om the franchisees to rectify</w:t>
      </w:r>
      <w:r w:rsidRPr="003C6A03">
        <w:rPr>
          <w:sz w:val="20"/>
          <w:szCs w:val="20"/>
        </w:rPr>
        <w:t xml:space="preserve"> the rates immediately, once it was realised that </w:t>
      </w:r>
      <w:r w:rsidR="002B6DB2" w:rsidRPr="003C6A03">
        <w:rPr>
          <w:sz w:val="20"/>
          <w:szCs w:val="20"/>
        </w:rPr>
        <w:t>they must</w:t>
      </w:r>
      <w:r w:rsidRPr="003C6A03">
        <w:rPr>
          <w:sz w:val="20"/>
          <w:szCs w:val="20"/>
        </w:rPr>
        <w:t xml:space="preserve"> meet the transitional rates as a minimum.</w:t>
      </w:r>
      <w:r w:rsidR="002B6DB2" w:rsidRPr="003C6A03">
        <w:rPr>
          <w:sz w:val="20"/>
          <w:szCs w:val="20"/>
        </w:rPr>
        <w:t xml:space="preserve"> </w:t>
      </w:r>
      <w:r w:rsidRPr="003C6A03">
        <w:rPr>
          <w:sz w:val="20"/>
          <w:szCs w:val="20"/>
        </w:rPr>
        <w:t xml:space="preserve">However, the back pay for all current and ex- employees for almost a two year period has been, for most, quite a significant financial burden during a tough economic period which has included rising utility bills and taxes and </w:t>
      </w:r>
      <w:r w:rsidR="0033641E" w:rsidRPr="003C6A03">
        <w:rPr>
          <w:sz w:val="20"/>
          <w:szCs w:val="20"/>
        </w:rPr>
        <w:t>more challenging</w:t>
      </w:r>
      <w:r w:rsidR="00FF2046">
        <w:rPr>
          <w:sz w:val="20"/>
          <w:szCs w:val="20"/>
        </w:rPr>
        <w:t xml:space="preserve"> trading conditions.</w:t>
      </w:r>
    </w:p>
    <w:p w14:paraId="4CDF324A" w14:textId="77777777" w:rsidR="00C6501A" w:rsidRDefault="00C6501A">
      <w:pPr>
        <w:rPr>
          <w:sz w:val="20"/>
          <w:szCs w:val="20"/>
        </w:rPr>
      </w:pPr>
      <w:r>
        <w:rPr>
          <w:sz w:val="20"/>
          <w:szCs w:val="20"/>
        </w:rPr>
        <w:br w:type="page"/>
      </w:r>
    </w:p>
    <w:p w14:paraId="4CDF324B" w14:textId="77777777" w:rsidR="00D52A1C" w:rsidRPr="003C6A03" w:rsidRDefault="00D52A1C" w:rsidP="003452C6">
      <w:pPr>
        <w:jc w:val="both"/>
        <w:rPr>
          <w:sz w:val="20"/>
          <w:szCs w:val="20"/>
        </w:rPr>
      </w:pPr>
      <w:r w:rsidRPr="003C6A03">
        <w:rPr>
          <w:sz w:val="20"/>
          <w:szCs w:val="20"/>
        </w:rPr>
        <w:lastRenderedPageBreak/>
        <w:t>Signed</w:t>
      </w:r>
    </w:p>
    <w:p w14:paraId="4CDF324C" w14:textId="77777777" w:rsidR="00D52A1C" w:rsidRPr="003C6A03" w:rsidRDefault="00D52A1C" w:rsidP="003452C6">
      <w:pPr>
        <w:jc w:val="both"/>
        <w:rPr>
          <w:sz w:val="20"/>
          <w:szCs w:val="20"/>
        </w:rPr>
      </w:pPr>
      <w:r w:rsidRPr="003C6A03">
        <w:rPr>
          <w:sz w:val="20"/>
          <w:szCs w:val="20"/>
        </w:rPr>
        <w:t>_________________________________</w:t>
      </w:r>
    </w:p>
    <w:p w14:paraId="4CDF324D" w14:textId="77777777" w:rsidR="00D52A1C" w:rsidRPr="003C6A03" w:rsidRDefault="00D52A1C" w:rsidP="003452C6">
      <w:pPr>
        <w:jc w:val="both"/>
        <w:rPr>
          <w:sz w:val="20"/>
          <w:szCs w:val="20"/>
        </w:rPr>
      </w:pPr>
      <w:r w:rsidRPr="003C6A03">
        <w:rPr>
          <w:sz w:val="20"/>
          <w:szCs w:val="20"/>
        </w:rPr>
        <w:t>Name</w:t>
      </w:r>
    </w:p>
    <w:p w14:paraId="4CDF324E" w14:textId="77777777" w:rsidR="00D52A1C" w:rsidRPr="003C6A03" w:rsidRDefault="00D52A1C" w:rsidP="003452C6">
      <w:pPr>
        <w:jc w:val="both"/>
        <w:rPr>
          <w:sz w:val="20"/>
          <w:szCs w:val="20"/>
        </w:rPr>
      </w:pPr>
      <w:r w:rsidRPr="003C6A03">
        <w:rPr>
          <w:sz w:val="20"/>
          <w:szCs w:val="20"/>
        </w:rPr>
        <w:t>_________________________________</w:t>
      </w:r>
    </w:p>
    <w:p w14:paraId="4CDF324F" w14:textId="77777777" w:rsidR="00D52A1C" w:rsidRPr="003C6A03" w:rsidRDefault="00D52A1C" w:rsidP="003452C6">
      <w:pPr>
        <w:jc w:val="both"/>
        <w:rPr>
          <w:sz w:val="20"/>
          <w:szCs w:val="20"/>
        </w:rPr>
      </w:pPr>
      <w:r w:rsidRPr="003C6A03">
        <w:rPr>
          <w:sz w:val="20"/>
          <w:szCs w:val="20"/>
        </w:rPr>
        <w:t>Signature</w:t>
      </w:r>
    </w:p>
    <w:p w14:paraId="4CDF3251" w14:textId="6412B978" w:rsidR="00D52A1C" w:rsidRPr="003C6A03" w:rsidRDefault="00D52A1C" w:rsidP="003452C6">
      <w:pPr>
        <w:jc w:val="both"/>
        <w:rPr>
          <w:sz w:val="20"/>
          <w:szCs w:val="20"/>
        </w:rPr>
      </w:pPr>
      <w:r w:rsidRPr="003C6A03">
        <w:rPr>
          <w:sz w:val="20"/>
          <w:szCs w:val="20"/>
        </w:rPr>
        <w:t>Red Rooster Authorised Representative</w:t>
      </w:r>
    </w:p>
    <w:p w14:paraId="4CDF3252" w14:textId="77777777" w:rsidR="00D52A1C" w:rsidRPr="003C6A03" w:rsidRDefault="00D52A1C" w:rsidP="007C73A8">
      <w:pPr>
        <w:spacing w:before="480"/>
        <w:jc w:val="both"/>
        <w:rPr>
          <w:sz w:val="20"/>
          <w:szCs w:val="20"/>
        </w:rPr>
      </w:pPr>
      <w:r w:rsidRPr="003C6A03">
        <w:rPr>
          <w:sz w:val="20"/>
          <w:szCs w:val="20"/>
        </w:rPr>
        <w:t>Signed</w:t>
      </w:r>
    </w:p>
    <w:p w14:paraId="4CDF3253" w14:textId="77777777" w:rsidR="00D52A1C" w:rsidRPr="003C6A03" w:rsidRDefault="00D52A1C" w:rsidP="003452C6">
      <w:pPr>
        <w:jc w:val="both"/>
        <w:rPr>
          <w:sz w:val="20"/>
          <w:szCs w:val="20"/>
        </w:rPr>
      </w:pPr>
      <w:r w:rsidRPr="003C6A03">
        <w:rPr>
          <w:sz w:val="20"/>
          <w:szCs w:val="20"/>
        </w:rPr>
        <w:t>__________________________________</w:t>
      </w:r>
    </w:p>
    <w:p w14:paraId="4CDF3254" w14:textId="77777777" w:rsidR="00D52A1C" w:rsidRPr="003C6A03" w:rsidRDefault="00D52A1C" w:rsidP="003452C6">
      <w:pPr>
        <w:jc w:val="both"/>
        <w:rPr>
          <w:sz w:val="20"/>
          <w:szCs w:val="20"/>
        </w:rPr>
      </w:pPr>
      <w:r w:rsidRPr="003C6A03">
        <w:rPr>
          <w:sz w:val="20"/>
          <w:szCs w:val="20"/>
        </w:rPr>
        <w:t>Name</w:t>
      </w:r>
    </w:p>
    <w:p w14:paraId="4CDF3255" w14:textId="77777777" w:rsidR="00D52A1C" w:rsidRPr="003C6A03" w:rsidRDefault="00D52A1C" w:rsidP="003452C6">
      <w:pPr>
        <w:jc w:val="both"/>
        <w:rPr>
          <w:sz w:val="20"/>
          <w:szCs w:val="20"/>
        </w:rPr>
      </w:pPr>
      <w:r w:rsidRPr="003C6A03">
        <w:rPr>
          <w:sz w:val="20"/>
          <w:szCs w:val="20"/>
        </w:rPr>
        <w:t>__________________________________</w:t>
      </w:r>
    </w:p>
    <w:p w14:paraId="4CDF3256" w14:textId="77777777" w:rsidR="00D52A1C" w:rsidRPr="003C6A03" w:rsidRDefault="00D52A1C" w:rsidP="003452C6">
      <w:pPr>
        <w:jc w:val="both"/>
        <w:rPr>
          <w:sz w:val="20"/>
          <w:szCs w:val="20"/>
        </w:rPr>
      </w:pPr>
      <w:r w:rsidRPr="003C6A03">
        <w:rPr>
          <w:sz w:val="20"/>
          <w:szCs w:val="20"/>
        </w:rPr>
        <w:t>Signature</w:t>
      </w:r>
    </w:p>
    <w:p w14:paraId="4CDF3258" w14:textId="1A245BDD" w:rsidR="00D52A1C" w:rsidRPr="003C6A03" w:rsidRDefault="003E4158" w:rsidP="003452C6">
      <w:pPr>
        <w:jc w:val="both"/>
        <w:rPr>
          <w:sz w:val="20"/>
          <w:szCs w:val="20"/>
        </w:rPr>
      </w:pPr>
      <w:r w:rsidRPr="003C6A03">
        <w:rPr>
          <w:sz w:val="20"/>
          <w:szCs w:val="20"/>
        </w:rPr>
        <w:t xml:space="preserve">Certified </w:t>
      </w:r>
      <w:r w:rsidR="00D52A1C" w:rsidRPr="003C6A03">
        <w:rPr>
          <w:sz w:val="20"/>
          <w:szCs w:val="20"/>
        </w:rPr>
        <w:t>Practising Accountant</w:t>
      </w:r>
    </w:p>
    <w:sectPr w:rsidR="00D52A1C" w:rsidRPr="003C6A0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DF325F" w14:textId="77777777" w:rsidR="00155F50" w:rsidRDefault="00155F50" w:rsidP="003F6AC8">
      <w:pPr>
        <w:spacing w:after="0" w:line="240" w:lineRule="auto"/>
      </w:pPr>
      <w:r>
        <w:separator/>
      </w:r>
    </w:p>
  </w:endnote>
  <w:endnote w:type="continuationSeparator" w:id="0">
    <w:p w14:paraId="4CDF3260" w14:textId="77777777" w:rsidR="00155F50" w:rsidRDefault="00155F50" w:rsidP="003F6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F3263" w14:textId="77777777" w:rsidR="00D52A1C" w:rsidRDefault="00D52A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170269"/>
      <w:docPartObj>
        <w:docPartGallery w:val="Page Numbers (Bottom of Page)"/>
        <w:docPartUnique/>
      </w:docPartObj>
    </w:sdtPr>
    <w:sdtEndPr>
      <w:rPr>
        <w:noProof/>
      </w:rPr>
    </w:sdtEndPr>
    <w:sdtContent>
      <w:p w14:paraId="4CDF3264" w14:textId="77777777" w:rsidR="003F6AC8" w:rsidRDefault="003F6AC8">
        <w:pPr>
          <w:pStyle w:val="Footer"/>
          <w:jc w:val="right"/>
        </w:pPr>
        <w:r>
          <w:fldChar w:fldCharType="begin"/>
        </w:r>
        <w:r>
          <w:instrText xml:space="preserve"> PAGE   \* MERGEFORMAT </w:instrText>
        </w:r>
        <w:r>
          <w:fldChar w:fldCharType="separate"/>
        </w:r>
        <w:r w:rsidR="00E222E9">
          <w:rPr>
            <w:noProof/>
          </w:rPr>
          <w:t>2</w:t>
        </w:r>
        <w:r>
          <w:rPr>
            <w:noProof/>
          </w:rPr>
          <w:fldChar w:fldCharType="end"/>
        </w:r>
      </w:p>
    </w:sdtContent>
  </w:sdt>
  <w:p w14:paraId="4CDF3265" w14:textId="77777777" w:rsidR="003F6AC8" w:rsidRDefault="003F6A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F3267" w14:textId="77777777" w:rsidR="00D52A1C" w:rsidRDefault="00D52A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F325D" w14:textId="77777777" w:rsidR="00155F50" w:rsidRDefault="00155F50" w:rsidP="003F6AC8">
      <w:pPr>
        <w:spacing w:after="0" w:line="240" w:lineRule="auto"/>
      </w:pPr>
      <w:r>
        <w:separator/>
      </w:r>
    </w:p>
  </w:footnote>
  <w:footnote w:type="continuationSeparator" w:id="0">
    <w:p w14:paraId="4CDF325E" w14:textId="77777777" w:rsidR="00155F50" w:rsidRDefault="00155F50" w:rsidP="003F6A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F3261" w14:textId="77777777" w:rsidR="00D52A1C" w:rsidRDefault="00D52A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F3262" w14:textId="77777777" w:rsidR="00D52A1C" w:rsidRDefault="00D52A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F3266" w14:textId="77777777" w:rsidR="00D52A1C" w:rsidRDefault="00D52A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3136"/>
    <w:multiLevelType w:val="multilevel"/>
    <w:tmpl w:val="F93E520A"/>
    <w:lvl w:ilvl="0">
      <w:start w:val="1"/>
      <w:numFmt w:val="bullet"/>
      <w:lvlText w:val="•"/>
      <w:lvlJc w:val="left"/>
      <w:pPr>
        <w:ind w:left="0" w:firstLine="0"/>
      </w:p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E36"/>
    <w:rsid w:val="00037F25"/>
    <w:rsid w:val="000474A4"/>
    <w:rsid w:val="000706B5"/>
    <w:rsid w:val="00106D55"/>
    <w:rsid w:val="00155F50"/>
    <w:rsid w:val="002051B9"/>
    <w:rsid w:val="00221393"/>
    <w:rsid w:val="0025290C"/>
    <w:rsid w:val="002B6DB2"/>
    <w:rsid w:val="003142BE"/>
    <w:rsid w:val="0033641E"/>
    <w:rsid w:val="003452C6"/>
    <w:rsid w:val="003B5B87"/>
    <w:rsid w:val="003C6A03"/>
    <w:rsid w:val="003D2DED"/>
    <w:rsid w:val="003E4158"/>
    <w:rsid w:val="003F6AC8"/>
    <w:rsid w:val="004003BF"/>
    <w:rsid w:val="004837C8"/>
    <w:rsid w:val="00486180"/>
    <w:rsid w:val="00491C83"/>
    <w:rsid w:val="004F514F"/>
    <w:rsid w:val="00536395"/>
    <w:rsid w:val="00557DF1"/>
    <w:rsid w:val="005858A6"/>
    <w:rsid w:val="005F2ABF"/>
    <w:rsid w:val="0064660E"/>
    <w:rsid w:val="006D4541"/>
    <w:rsid w:val="00714030"/>
    <w:rsid w:val="00716BFC"/>
    <w:rsid w:val="007245D0"/>
    <w:rsid w:val="007C73A8"/>
    <w:rsid w:val="007D3E36"/>
    <w:rsid w:val="008261AA"/>
    <w:rsid w:val="00861111"/>
    <w:rsid w:val="008B6B11"/>
    <w:rsid w:val="00963404"/>
    <w:rsid w:val="00A16B16"/>
    <w:rsid w:val="00A22324"/>
    <w:rsid w:val="00AB7755"/>
    <w:rsid w:val="00B46E50"/>
    <w:rsid w:val="00B9101B"/>
    <w:rsid w:val="00BC3F0F"/>
    <w:rsid w:val="00BD2412"/>
    <w:rsid w:val="00C02E27"/>
    <w:rsid w:val="00C6501A"/>
    <w:rsid w:val="00C777F6"/>
    <w:rsid w:val="00CB396C"/>
    <w:rsid w:val="00D23244"/>
    <w:rsid w:val="00D52A1C"/>
    <w:rsid w:val="00E222E9"/>
    <w:rsid w:val="00FF0F17"/>
    <w:rsid w:val="00FF20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DF3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474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E36"/>
    <w:rPr>
      <w:rFonts w:ascii="Tahoma" w:hAnsi="Tahoma" w:cs="Tahoma"/>
      <w:sz w:val="16"/>
      <w:szCs w:val="16"/>
    </w:rPr>
  </w:style>
  <w:style w:type="paragraph" w:styleId="Header">
    <w:name w:val="header"/>
    <w:basedOn w:val="Normal"/>
    <w:link w:val="HeaderChar"/>
    <w:uiPriority w:val="99"/>
    <w:unhideWhenUsed/>
    <w:rsid w:val="003F6A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AC8"/>
  </w:style>
  <w:style w:type="paragraph" w:styleId="Footer">
    <w:name w:val="footer"/>
    <w:basedOn w:val="Normal"/>
    <w:link w:val="FooterChar"/>
    <w:uiPriority w:val="99"/>
    <w:unhideWhenUsed/>
    <w:rsid w:val="003F6A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AC8"/>
  </w:style>
  <w:style w:type="table" w:styleId="TableGrid">
    <w:name w:val="Table Grid"/>
    <w:basedOn w:val="TableNormal"/>
    <w:uiPriority w:val="59"/>
    <w:rsid w:val="00AB77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37C8"/>
    <w:pPr>
      <w:ind w:left="720"/>
      <w:contextualSpacing/>
    </w:pPr>
  </w:style>
  <w:style w:type="character" w:customStyle="1" w:styleId="Heading2Char">
    <w:name w:val="Heading 2 Char"/>
    <w:basedOn w:val="DefaultParagraphFont"/>
    <w:link w:val="Heading2"/>
    <w:uiPriority w:val="9"/>
    <w:rsid w:val="000474A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474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E36"/>
    <w:rPr>
      <w:rFonts w:ascii="Tahoma" w:hAnsi="Tahoma" w:cs="Tahoma"/>
      <w:sz w:val="16"/>
      <w:szCs w:val="16"/>
    </w:rPr>
  </w:style>
  <w:style w:type="paragraph" w:styleId="Header">
    <w:name w:val="header"/>
    <w:basedOn w:val="Normal"/>
    <w:link w:val="HeaderChar"/>
    <w:uiPriority w:val="99"/>
    <w:unhideWhenUsed/>
    <w:rsid w:val="003F6A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AC8"/>
  </w:style>
  <w:style w:type="paragraph" w:styleId="Footer">
    <w:name w:val="footer"/>
    <w:basedOn w:val="Normal"/>
    <w:link w:val="FooterChar"/>
    <w:uiPriority w:val="99"/>
    <w:unhideWhenUsed/>
    <w:rsid w:val="003F6A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AC8"/>
  </w:style>
  <w:style w:type="table" w:styleId="TableGrid">
    <w:name w:val="Table Grid"/>
    <w:basedOn w:val="TableNormal"/>
    <w:uiPriority w:val="59"/>
    <w:rsid w:val="00AB77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37C8"/>
    <w:pPr>
      <w:ind w:left="720"/>
      <w:contextualSpacing/>
    </w:pPr>
  </w:style>
  <w:style w:type="character" w:customStyle="1" w:styleId="Heading2Char">
    <w:name w:val="Heading 2 Char"/>
    <w:basedOn w:val="DefaultParagraphFont"/>
    <w:link w:val="Heading2"/>
    <w:uiPriority w:val="9"/>
    <w:rsid w:val="000474A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393">
      <w:bodyDiv w:val="1"/>
      <w:marLeft w:val="0"/>
      <w:marRight w:val="0"/>
      <w:marTop w:val="0"/>
      <w:marBottom w:val="0"/>
      <w:divBdr>
        <w:top w:val="none" w:sz="0" w:space="0" w:color="auto"/>
        <w:left w:val="none" w:sz="0" w:space="0" w:color="auto"/>
        <w:bottom w:val="none" w:sz="0" w:space="0" w:color="auto"/>
        <w:right w:val="none" w:sz="0" w:space="0" w:color="auto"/>
      </w:divBdr>
    </w:div>
    <w:div w:id="1053770473">
      <w:bodyDiv w:val="1"/>
      <w:marLeft w:val="0"/>
      <w:marRight w:val="0"/>
      <w:marTop w:val="0"/>
      <w:marBottom w:val="0"/>
      <w:divBdr>
        <w:top w:val="none" w:sz="0" w:space="0" w:color="auto"/>
        <w:left w:val="none" w:sz="0" w:space="0" w:color="auto"/>
        <w:bottom w:val="none" w:sz="0" w:space="0" w:color="auto"/>
        <w:right w:val="none" w:sz="0" w:space="0" w:color="auto"/>
      </w:divBdr>
    </w:div>
    <w:div w:id="133445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87E4276506A14E8C8B9C5A69C32FE4" ma:contentTypeVersion="1" ma:contentTypeDescription="Create a new document." ma:contentTypeScope="" ma:versionID="a7469bd83b92a1ba9d617e2f3c75c37d">
  <xsd:schema xmlns:xsd="http://www.w3.org/2001/XMLSchema" xmlns:xs="http://www.w3.org/2001/XMLSchema" xmlns:p="http://schemas.microsoft.com/office/2006/metadata/properties" xmlns:ns2="795f0301-7ebe-4385-82d5-bd1171559341" targetNamespace="http://schemas.microsoft.com/office/2006/metadata/properties" ma:root="true" ma:fieldsID="764f4e060e8629825c2de0db10dabeab" ns2:_="">
    <xsd:import namespace="795f0301-7ebe-4385-82d5-bd11715593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f0301-7ebe-4385-82d5-bd11715593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20E81-7AF5-4DE6-A1D6-DE0D0559017D}">
  <ds:schemaRefs>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infopath/2007/PartnerControls"/>
    <ds:schemaRef ds:uri="http://purl.org/dc/dcmitype/"/>
    <ds:schemaRef ds:uri="795f0301-7ebe-4385-82d5-bd1171559341"/>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12D096D5-4FB1-4E1F-A3AF-1AB068791BE6}">
  <ds:schemaRefs>
    <ds:schemaRef ds:uri="http://schemas.microsoft.com/sharepoint/v3/contenttype/forms"/>
  </ds:schemaRefs>
</ds:datastoreItem>
</file>

<file path=customXml/itemProps3.xml><?xml version="1.0" encoding="utf-8"?>
<ds:datastoreItem xmlns:ds="http://schemas.openxmlformats.org/officeDocument/2006/customXml" ds:itemID="{25B2D990-4544-4166-B454-6B759B2B9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f0301-7ebe-4385-82d5-bd1171559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E0FE22-4EF9-4F82-8C2A-58D920FE4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CE9B3684.dotm</Template>
  <TotalTime>11</TotalTime>
  <Pages>6</Pages>
  <Words>1108</Words>
  <Characters>6087</Characters>
  <Application>Microsoft Office Word</Application>
  <DocSecurity>0</DocSecurity>
  <Lines>129</Lines>
  <Paragraphs>68</Paragraphs>
  <ScaleCrop>false</ScaleCrop>
  <HeadingPairs>
    <vt:vector size="2" baseType="variant">
      <vt:variant>
        <vt:lpstr>Title</vt:lpstr>
      </vt:variant>
      <vt:variant>
        <vt:i4>1</vt:i4>
      </vt:variant>
    </vt:vector>
  </HeadingPairs>
  <TitlesOfParts>
    <vt:vector size="1" baseType="lpstr">
      <vt:lpstr>Red Rooster Proactive Compliance Deed Appendix A</vt:lpstr>
    </vt:vector>
  </TitlesOfParts>
  <Company>Fair Work Ombudsman</Company>
  <LinksUpToDate>false</LinksUpToDate>
  <CharactersWithSpaces>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Rooster Proactive Compliance Deed Appendix A</dc:title>
  <dc:subject>Red Rooster Proactive Compliance Deed Appendix A</dc:subject>
  <dc:creator>Fair Work Ombudsman</dc:creator>
  <cp:keywords>Red Rooster Proactive Compliance Deed Appendix A</cp:keywords>
  <cp:lastModifiedBy>Amalia Chong</cp:lastModifiedBy>
  <cp:revision>6</cp:revision>
  <cp:lastPrinted>2014-03-24T02:56:00Z</cp:lastPrinted>
  <dcterms:created xsi:type="dcterms:W3CDTF">2014-08-26T03:42:00Z</dcterms:created>
  <dcterms:modified xsi:type="dcterms:W3CDTF">2014-08-26T04:11:00Z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0x010100AA87E4276506A14E8C8B9C5A69C32FE4</vt:lpwstr>
  </property>
</Properties>
</file>