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64" w:rsidRPr="00651BEB" w:rsidRDefault="00601764" w:rsidP="0021407E">
      <w:pPr>
        <w:spacing w:before="7920"/>
        <w:rPr>
          <w:rFonts w:eastAsia="Arial" w:cs="Arial"/>
          <w:color w:val="1F497D"/>
          <w:sz w:val="64"/>
        </w:rPr>
      </w:pPr>
      <w:r w:rsidRPr="00651BEB">
        <w:rPr>
          <w:rFonts w:eastAsia="Arial" w:cs="Arial"/>
          <w:color w:val="1F497D"/>
          <w:sz w:val="64"/>
        </w:rPr>
        <w:t>Red Rooster’s Proactive Compliance Deed</w:t>
      </w:r>
    </w:p>
    <w:p w:rsidR="00601764" w:rsidRPr="00651BEB" w:rsidRDefault="00601764" w:rsidP="002C2D16">
      <w:pPr>
        <w:rPr>
          <w:rFonts w:eastAsia="Arial" w:cs="Arial"/>
          <w:color w:val="1F497D"/>
        </w:rPr>
      </w:pPr>
    </w:p>
    <w:p w:rsidR="00601764" w:rsidRDefault="00601764" w:rsidP="002C2D16">
      <w:pPr>
        <w:rPr>
          <w:rFonts w:eastAsia="Arial" w:cs="Arial"/>
          <w:color w:val="0F243E"/>
        </w:rPr>
      </w:pPr>
      <w:r w:rsidRPr="00651BEB">
        <w:rPr>
          <w:rFonts w:eastAsia="Arial" w:cs="Arial"/>
          <w:color w:val="1F497D"/>
          <w:sz w:val="32"/>
        </w:rPr>
        <w:t xml:space="preserve">Final Report on the Proactive Compliance Deed between Red Rooster Foods Pty Ltd and the Fair Work Ombudsman </w:t>
      </w:r>
    </w:p>
    <w:p w:rsidR="00601764" w:rsidRDefault="00601764" w:rsidP="0021407E">
      <w:pPr>
        <w:spacing w:before="480"/>
        <w:rPr>
          <w:rFonts w:eastAsia="Arial" w:cs="Arial"/>
          <w:color w:val="0F243E"/>
        </w:rPr>
      </w:pPr>
    </w:p>
    <w:p w:rsidR="00601764" w:rsidRDefault="00601764" w:rsidP="002C2D16">
      <w:pPr>
        <w:rPr>
          <w:rFonts w:eastAsia="Arial" w:cs="Arial"/>
          <w:color w:val="0F243E"/>
        </w:rPr>
      </w:pPr>
      <w:r>
        <w:rPr>
          <w:rFonts w:eastAsia="Arial" w:cs="Arial"/>
          <w:color w:val="0F243E"/>
        </w:rPr>
        <w:t xml:space="preserve">A report by the Fair Work Ombudsman under the </w:t>
      </w:r>
      <w:r>
        <w:rPr>
          <w:rFonts w:eastAsia="Arial" w:cs="Arial"/>
          <w:i/>
          <w:color w:val="0F243E"/>
        </w:rPr>
        <w:t>Fair Work Act 2009</w:t>
      </w:r>
    </w:p>
    <w:p w:rsidR="00601764" w:rsidRPr="00651BEB" w:rsidRDefault="00FD6830" w:rsidP="002C2D16">
      <w:pPr>
        <w:rPr>
          <w:rFonts w:eastAsia="Arial" w:cs="Arial"/>
          <w:color w:val="000000"/>
        </w:rPr>
      </w:pPr>
      <w:r>
        <w:rPr>
          <w:rFonts w:eastAsia="Arial" w:cs="Arial"/>
          <w:color w:val="000000"/>
        </w:rPr>
        <w:t>Date of Publication July</w:t>
      </w:r>
      <w:r w:rsidR="00601764" w:rsidRPr="00651BEB">
        <w:rPr>
          <w:rFonts w:eastAsia="Arial" w:cs="Arial"/>
          <w:color w:val="000000"/>
        </w:rPr>
        <w:t xml:space="preserve"> 2014</w:t>
      </w:r>
    </w:p>
    <w:p w:rsidR="00601764" w:rsidRDefault="00601764" w:rsidP="002C2D16">
      <w:pPr>
        <w:rPr>
          <w:rFonts w:eastAsia="Arial" w:cs="Arial"/>
          <w:b/>
          <w:color w:val="00B0F0"/>
        </w:rPr>
      </w:pPr>
      <w:r>
        <w:rPr>
          <w:rFonts w:eastAsia="Arial" w:cs="Arial"/>
          <w:color w:val="0F243E"/>
        </w:rPr>
        <w:t>© Commonwealth of Australia, 2014</w:t>
      </w:r>
    </w:p>
    <w:p w:rsidR="00601764" w:rsidRDefault="00601764" w:rsidP="002C2D16">
      <w:pPr>
        <w:rPr>
          <w:rFonts w:eastAsia="Arial" w:cs="Arial"/>
          <w:b/>
          <w:color w:val="00B0F0"/>
        </w:rPr>
      </w:pPr>
    </w:p>
    <w:p w:rsidR="00E40F8E" w:rsidRDefault="00E40F8E">
      <w:pPr>
        <w:pStyle w:val="TOCHeading"/>
        <w:rPr>
          <w:rFonts w:ascii="Arial Bold" w:hAnsi="Arial Bold"/>
          <w:color w:val="548DD4"/>
        </w:rPr>
      </w:pPr>
    </w:p>
    <w:p w:rsidR="00651BEB" w:rsidRDefault="00651BEB" w:rsidP="00E40F8E">
      <w:pPr>
        <w:pStyle w:val="TOCHeading"/>
        <w:spacing w:before="360"/>
        <w:rPr>
          <w:rFonts w:ascii="Arial Bold" w:hAnsi="Arial Bold"/>
          <w:color w:val="548DD4"/>
        </w:rPr>
      </w:pPr>
      <w:r w:rsidRPr="00D95284">
        <w:rPr>
          <w:rFonts w:ascii="Arial Bold" w:hAnsi="Arial Bold"/>
          <w:color w:val="548DD4"/>
        </w:rPr>
        <w:t>Contents</w:t>
      </w:r>
    </w:p>
    <w:p w:rsidR="00E40F8E" w:rsidRDefault="00E40F8E" w:rsidP="00E40F8E">
      <w:pPr>
        <w:rPr>
          <w:lang w:val="en-US"/>
        </w:rPr>
      </w:pPr>
    </w:p>
    <w:p w:rsidR="00E40F8E" w:rsidRPr="00E40F8E" w:rsidRDefault="00E40F8E" w:rsidP="00E40F8E">
      <w:pPr>
        <w:rPr>
          <w:lang w:val="en-US"/>
        </w:rPr>
      </w:pPr>
    </w:p>
    <w:p w:rsidR="00651BEB" w:rsidRPr="00E40F8E" w:rsidRDefault="00651BEB" w:rsidP="0021407E">
      <w:pPr>
        <w:pStyle w:val="TOC1"/>
        <w:rPr>
          <w:rFonts w:ascii="Calibri" w:eastAsia="Times New Roman" w:hAnsi="Calibri"/>
          <w:spacing w:val="0"/>
          <w:lang w:eastAsia="en-AU"/>
        </w:rPr>
      </w:pPr>
      <w:r w:rsidRPr="00E40F8E">
        <w:fldChar w:fldCharType="begin"/>
      </w:r>
      <w:r w:rsidRPr="00E40F8E">
        <w:instrText xml:space="preserve"> TOC \o "1-3" \h \z \u </w:instrText>
      </w:r>
      <w:r w:rsidRPr="00E40F8E">
        <w:fldChar w:fldCharType="separate"/>
      </w:r>
      <w:hyperlink w:anchor="_Toc386631649" w:history="1">
        <w:r w:rsidR="00E40F8E" w:rsidRPr="00E40F8E">
          <w:rPr>
            <w:rStyle w:val="Hyperlink"/>
          </w:rPr>
          <w:t>1.</w:t>
        </w:r>
        <w:r w:rsidRPr="00E40F8E">
          <w:rPr>
            <w:rFonts w:ascii="Calibri" w:eastAsia="Times New Roman" w:hAnsi="Calibri"/>
            <w:spacing w:val="0"/>
            <w:lang w:eastAsia="en-AU"/>
          </w:rPr>
          <w:tab/>
        </w:r>
        <w:r w:rsidRPr="00E40F8E">
          <w:rPr>
            <w:rStyle w:val="Hyperlink"/>
          </w:rPr>
          <w:t>Summary and key results</w:t>
        </w:r>
        <w:r w:rsidRPr="00E40F8E">
          <w:rPr>
            <w:webHidden/>
          </w:rPr>
          <w:tab/>
        </w:r>
        <w:r w:rsidRPr="00E40F8E">
          <w:rPr>
            <w:webHidden/>
          </w:rPr>
          <w:fldChar w:fldCharType="begin"/>
        </w:r>
        <w:r w:rsidRPr="00E40F8E">
          <w:rPr>
            <w:webHidden/>
          </w:rPr>
          <w:instrText xml:space="preserve"> PAGEREF _Toc386631649 \h </w:instrText>
        </w:r>
        <w:r w:rsidRPr="00E40F8E">
          <w:rPr>
            <w:webHidden/>
          </w:rPr>
        </w:r>
        <w:r w:rsidRPr="00E40F8E">
          <w:rPr>
            <w:webHidden/>
          </w:rPr>
          <w:fldChar w:fldCharType="separate"/>
        </w:r>
        <w:r w:rsidR="00E43E3D">
          <w:rPr>
            <w:webHidden/>
          </w:rPr>
          <w:t>3</w:t>
        </w:r>
        <w:r w:rsidRPr="00E40F8E">
          <w:rPr>
            <w:webHidden/>
          </w:rPr>
          <w:fldChar w:fldCharType="end"/>
        </w:r>
      </w:hyperlink>
    </w:p>
    <w:p w:rsidR="00651BEB" w:rsidRPr="00E40F8E" w:rsidRDefault="0021407E" w:rsidP="0021407E">
      <w:pPr>
        <w:pStyle w:val="TOC1"/>
        <w:rPr>
          <w:rFonts w:ascii="Calibri" w:eastAsia="Times New Roman" w:hAnsi="Calibri"/>
          <w:spacing w:val="0"/>
          <w:lang w:eastAsia="en-AU"/>
        </w:rPr>
      </w:pPr>
      <w:hyperlink w:anchor="_Toc386631650" w:history="1">
        <w:r w:rsidR="00E40F8E" w:rsidRPr="00E40F8E">
          <w:rPr>
            <w:rStyle w:val="Hyperlink"/>
          </w:rPr>
          <w:t>2.</w:t>
        </w:r>
        <w:r w:rsidR="00651BEB" w:rsidRPr="00E40F8E">
          <w:rPr>
            <w:rFonts w:ascii="Calibri" w:eastAsia="Times New Roman" w:hAnsi="Calibri"/>
            <w:spacing w:val="0"/>
            <w:lang w:eastAsia="en-AU"/>
          </w:rPr>
          <w:tab/>
        </w:r>
        <w:r w:rsidR="00651BEB" w:rsidRPr="00E40F8E">
          <w:rPr>
            <w:rStyle w:val="Hyperlink"/>
          </w:rPr>
          <w:t>Background</w:t>
        </w:r>
        <w:r w:rsidR="00651BEB" w:rsidRPr="00E40F8E">
          <w:rPr>
            <w:webHidden/>
          </w:rPr>
          <w:tab/>
        </w:r>
        <w:r w:rsidR="00651BEB" w:rsidRPr="00E40F8E">
          <w:rPr>
            <w:webHidden/>
          </w:rPr>
          <w:fldChar w:fldCharType="begin"/>
        </w:r>
        <w:r w:rsidR="00651BEB" w:rsidRPr="00E40F8E">
          <w:rPr>
            <w:webHidden/>
          </w:rPr>
          <w:instrText xml:space="preserve"> PAGEREF _Toc386631650 \h </w:instrText>
        </w:r>
        <w:r w:rsidR="00651BEB" w:rsidRPr="00E40F8E">
          <w:rPr>
            <w:webHidden/>
          </w:rPr>
        </w:r>
        <w:r w:rsidR="00651BEB" w:rsidRPr="00E40F8E">
          <w:rPr>
            <w:webHidden/>
          </w:rPr>
          <w:fldChar w:fldCharType="separate"/>
        </w:r>
        <w:r w:rsidR="00E43E3D">
          <w:rPr>
            <w:webHidden/>
          </w:rPr>
          <w:t>4</w:t>
        </w:r>
        <w:r w:rsidR="00651BEB" w:rsidRPr="00E40F8E">
          <w:rPr>
            <w:webHidden/>
          </w:rPr>
          <w:fldChar w:fldCharType="end"/>
        </w:r>
      </w:hyperlink>
    </w:p>
    <w:p w:rsidR="00651BEB" w:rsidRPr="00E40F8E" w:rsidRDefault="00E40F8E" w:rsidP="00E40F8E">
      <w:pPr>
        <w:pStyle w:val="TOC2"/>
        <w:spacing w:before="60" w:after="60"/>
        <w:rPr>
          <w:rFonts w:ascii="Calibri" w:hAnsi="Calibri"/>
          <w:noProof/>
          <w:sz w:val="24"/>
          <w:szCs w:val="24"/>
          <w:lang w:eastAsia="en-AU"/>
        </w:rPr>
      </w:pPr>
      <w:r w:rsidRPr="00E40F8E">
        <w:rPr>
          <w:sz w:val="24"/>
          <w:szCs w:val="24"/>
        </w:rPr>
        <w:tab/>
      </w:r>
      <w:hyperlink w:anchor="_Toc386631651" w:history="1">
        <w:r w:rsidRPr="00E40F8E">
          <w:rPr>
            <w:rStyle w:val="Hyperlink"/>
            <w:rFonts w:eastAsia="Arial"/>
            <w:noProof/>
            <w:sz w:val="24"/>
            <w:szCs w:val="24"/>
          </w:rPr>
          <w:t>2.1</w:t>
        </w:r>
        <w:r w:rsidRPr="00E40F8E">
          <w:rPr>
            <w:rStyle w:val="Hyperlink"/>
            <w:rFonts w:eastAsia="Arial"/>
            <w:noProof/>
            <w:sz w:val="24"/>
            <w:szCs w:val="24"/>
          </w:rPr>
          <w:tab/>
        </w:r>
        <w:r w:rsidR="00651BEB" w:rsidRPr="00E40F8E">
          <w:rPr>
            <w:rStyle w:val="Hyperlink"/>
            <w:rFonts w:eastAsia="Arial"/>
            <w:noProof/>
            <w:sz w:val="24"/>
            <w:szCs w:val="24"/>
          </w:rPr>
          <w:t>Red Rooster Pty Ltd</w:t>
        </w:r>
        <w:r w:rsidR="00651BEB" w:rsidRPr="00E40F8E">
          <w:rPr>
            <w:noProof/>
            <w:webHidden/>
            <w:sz w:val="24"/>
            <w:szCs w:val="24"/>
          </w:rPr>
          <w:tab/>
        </w:r>
        <w:r w:rsidR="00651BEB" w:rsidRPr="00E40F8E">
          <w:rPr>
            <w:noProof/>
            <w:webHidden/>
            <w:sz w:val="24"/>
            <w:szCs w:val="24"/>
          </w:rPr>
          <w:fldChar w:fldCharType="begin"/>
        </w:r>
        <w:r w:rsidR="00651BEB" w:rsidRPr="00E40F8E">
          <w:rPr>
            <w:noProof/>
            <w:webHidden/>
            <w:sz w:val="24"/>
            <w:szCs w:val="24"/>
          </w:rPr>
          <w:instrText xml:space="preserve"> PAGEREF _Toc386631651 \h </w:instrText>
        </w:r>
        <w:r w:rsidR="00651BEB" w:rsidRPr="00E40F8E">
          <w:rPr>
            <w:noProof/>
            <w:webHidden/>
            <w:sz w:val="24"/>
            <w:szCs w:val="24"/>
          </w:rPr>
        </w:r>
        <w:r w:rsidR="00651BEB" w:rsidRPr="00E40F8E">
          <w:rPr>
            <w:noProof/>
            <w:webHidden/>
            <w:sz w:val="24"/>
            <w:szCs w:val="24"/>
          </w:rPr>
          <w:fldChar w:fldCharType="separate"/>
        </w:r>
        <w:r w:rsidR="00E43E3D">
          <w:rPr>
            <w:noProof/>
            <w:webHidden/>
            <w:sz w:val="24"/>
            <w:szCs w:val="24"/>
          </w:rPr>
          <w:t>4</w:t>
        </w:r>
        <w:r w:rsidR="00651BEB" w:rsidRPr="00E40F8E">
          <w:rPr>
            <w:noProof/>
            <w:webHidden/>
            <w:sz w:val="24"/>
            <w:szCs w:val="24"/>
          </w:rPr>
          <w:fldChar w:fldCharType="end"/>
        </w:r>
      </w:hyperlink>
    </w:p>
    <w:p w:rsidR="00651BEB" w:rsidRPr="00E40F8E" w:rsidRDefault="00E40F8E" w:rsidP="00E40F8E">
      <w:pPr>
        <w:pStyle w:val="TOC2"/>
        <w:rPr>
          <w:rFonts w:ascii="Calibri" w:hAnsi="Calibri"/>
          <w:noProof/>
          <w:sz w:val="24"/>
          <w:szCs w:val="24"/>
          <w:lang w:eastAsia="en-AU"/>
        </w:rPr>
      </w:pPr>
      <w:r w:rsidRPr="00E40F8E">
        <w:rPr>
          <w:sz w:val="24"/>
          <w:szCs w:val="24"/>
        </w:rPr>
        <w:tab/>
      </w:r>
      <w:hyperlink w:anchor="_Toc386631653" w:history="1">
        <w:r w:rsidRPr="00E40F8E">
          <w:rPr>
            <w:rStyle w:val="Hyperlink"/>
            <w:rFonts w:eastAsia="Arial"/>
            <w:noProof/>
            <w:sz w:val="24"/>
            <w:szCs w:val="24"/>
          </w:rPr>
          <w:t>2.2</w:t>
        </w:r>
        <w:r w:rsidR="00651BEB" w:rsidRPr="00E40F8E">
          <w:rPr>
            <w:rFonts w:ascii="Calibri" w:hAnsi="Calibri"/>
            <w:noProof/>
            <w:sz w:val="24"/>
            <w:szCs w:val="24"/>
            <w:lang w:eastAsia="en-AU"/>
          </w:rPr>
          <w:tab/>
        </w:r>
        <w:r w:rsidR="00651BEB" w:rsidRPr="00E40F8E">
          <w:rPr>
            <w:rStyle w:val="Hyperlink"/>
            <w:rFonts w:eastAsia="Arial"/>
            <w:noProof/>
            <w:sz w:val="24"/>
            <w:szCs w:val="24"/>
          </w:rPr>
          <w:t>Background to the Proactive Compliance Deed</w:t>
        </w:r>
        <w:r w:rsidR="00651BEB" w:rsidRPr="00E40F8E">
          <w:rPr>
            <w:noProof/>
            <w:webHidden/>
            <w:sz w:val="24"/>
            <w:szCs w:val="24"/>
          </w:rPr>
          <w:tab/>
        </w:r>
        <w:r w:rsidR="00651BEB" w:rsidRPr="00E40F8E">
          <w:rPr>
            <w:noProof/>
            <w:webHidden/>
            <w:sz w:val="24"/>
            <w:szCs w:val="24"/>
          </w:rPr>
          <w:fldChar w:fldCharType="begin"/>
        </w:r>
        <w:r w:rsidR="00651BEB" w:rsidRPr="00E40F8E">
          <w:rPr>
            <w:noProof/>
            <w:webHidden/>
            <w:sz w:val="24"/>
            <w:szCs w:val="24"/>
          </w:rPr>
          <w:instrText xml:space="preserve"> PAGEREF _Toc386631653 \h </w:instrText>
        </w:r>
        <w:r w:rsidR="00651BEB" w:rsidRPr="00E40F8E">
          <w:rPr>
            <w:noProof/>
            <w:webHidden/>
            <w:sz w:val="24"/>
            <w:szCs w:val="24"/>
          </w:rPr>
        </w:r>
        <w:r w:rsidR="00651BEB" w:rsidRPr="00E40F8E">
          <w:rPr>
            <w:noProof/>
            <w:webHidden/>
            <w:sz w:val="24"/>
            <w:szCs w:val="24"/>
          </w:rPr>
          <w:fldChar w:fldCharType="separate"/>
        </w:r>
        <w:r w:rsidR="00E43E3D">
          <w:rPr>
            <w:noProof/>
            <w:webHidden/>
            <w:sz w:val="24"/>
            <w:szCs w:val="24"/>
          </w:rPr>
          <w:t>4</w:t>
        </w:r>
        <w:r w:rsidR="00651BEB" w:rsidRPr="00E40F8E">
          <w:rPr>
            <w:noProof/>
            <w:webHidden/>
            <w:sz w:val="24"/>
            <w:szCs w:val="24"/>
          </w:rPr>
          <w:fldChar w:fldCharType="end"/>
        </w:r>
      </w:hyperlink>
    </w:p>
    <w:p w:rsidR="00651BEB" w:rsidRPr="00E40F8E" w:rsidRDefault="0021407E" w:rsidP="0021407E">
      <w:pPr>
        <w:pStyle w:val="TOC1"/>
        <w:rPr>
          <w:rFonts w:ascii="Calibri" w:eastAsia="Times New Roman" w:hAnsi="Calibri"/>
          <w:spacing w:val="0"/>
          <w:lang w:eastAsia="en-AU"/>
        </w:rPr>
      </w:pPr>
      <w:hyperlink w:anchor="_Toc386631654" w:history="1">
        <w:r w:rsidR="00E40F8E" w:rsidRPr="00E40F8E">
          <w:rPr>
            <w:rStyle w:val="Hyperlink"/>
          </w:rPr>
          <w:t>3.</w:t>
        </w:r>
        <w:r w:rsidR="00651BEB" w:rsidRPr="00E40F8E">
          <w:rPr>
            <w:rFonts w:ascii="Calibri" w:eastAsia="Times New Roman" w:hAnsi="Calibri"/>
            <w:spacing w:val="0"/>
            <w:lang w:eastAsia="en-AU"/>
          </w:rPr>
          <w:tab/>
        </w:r>
        <w:r w:rsidR="00651BEB" w:rsidRPr="00E40F8E">
          <w:rPr>
            <w:rStyle w:val="Hyperlink"/>
          </w:rPr>
          <w:t>Proactive Compliance Deed objectives and scope</w:t>
        </w:r>
        <w:r w:rsidR="00651BEB" w:rsidRPr="00E40F8E">
          <w:rPr>
            <w:webHidden/>
          </w:rPr>
          <w:tab/>
        </w:r>
        <w:r w:rsidR="00651BEB" w:rsidRPr="00E40F8E">
          <w:rPr>
            <w:webHidden/>
          </w:rPr>
          <w:fldChar w:fldCharType="begin"/>
        </w:r>
        <w:r w:rsidR="00651BEB" w:rsidRPr="00E40F8E">
          <w:rPr>
            <w:webHidden/>
          </w:rPr>
          <w:instrText xml:space="preserve"> PAGEREF _Toc386631654 \h </w:instrText>
        </w:r>
        <w:r w:rsidR="00651BEB" w:rsidRPr="00E40F8E">
          <w:rPr>
            <w:webHidden/>
          </w:rPr>
        </w:r>
        <w:r w:rsidR="00651BEB" w:rsidRPr="00E40F8E">
          <w:rPr>
            <w:webHidden/>
          </w:rPr>
          <w:fldChar w:fldCharType="separate"/>
        </w:r>
        <w:r w:rsidR="00E43E3D">
          <w:rPr>
            <w:webHidden/>
          </w:rPr>
          <w:t>5</w:t>
        </w:r>
        <w:r w:rsidR="00651BEB" w:rsidRPr="00E40F8E">
          <w:rPr>
            <w:webHidden/>
          </w:rPr>
          <w:fldChar w:fldCharType="end"/>
        </w:r>
      </w:hyperlink>
    </w:p>
    <w:p w:rsidR="00651BEB" w:rsidRPr="00E40F8E" w:rsidRDefault="00E40F8E" w:rsidP="00E40F8E">
      <w:pPr>
        <w:pStyle w:val="TOC2"/>
        <w:spacing w:before="60" w:after="60"/>
        <w:rPr>
          <w:rFonts w:ascii="Calibri" w:hAnsi="Calibri"/>
          <w:noProof/>
          <w:sz w:val="24"/>
          <w:szCs w:val="24"/>
          <w:lang w:eastAsia="en-AU"/>
        </w:rPr>
      </w:pPr>
      <w:r w:rsidRPr="00E40F8E">
        <w:rPr>
          <w:sz w:val="24"/>
          <w:szCs w:val="24"/>
        </w:rPr>
        <w:tab/>
      </w:r>
      <w:hyperlink w:anchor="_Toc386631655" w:history="1">
        <w:r w:rsidRPr="00E40F8E">
          <w:rPr>
            <w:rStyle w:val="Hyperlink"/>
            <w:rFonts w:eastAsia="Arial"/>
            <w:noProof/>
            <w:sz w:val="24"/>
            <w:szCs w:val="24"/>
          </w:rPr>
          <w:t>3.1</w:t>
        </w:r>
        <w:r w:rsidR="00651BEB" w:rsidRPr="00E40F8E">
          <w:rPr>
            <w:rFonts w:ascii="Calibri" w:hAnsi="Calibri"/>
            <w:noProof/>
            <w:sz w:val="24"/>
            <w:szCs w:val="24"/>
            <w:lang w:eastAsia="en-AU"/>
          </w:rPr>
          <w:tab/>
        </w:r>
        <w:r w:rsidR="00651BEB" w:rsidRPr="00E40F8E">
          <w:rPr>
            <w:rStyle w:val="Hyperlink"/>
            <w:rFonts w:eastAsia="Arial"/>
            <w:noProof/>
            <w:sz w:val="24"/>
            <w:szCs w:val="24"/>
          </w:rPr>
          <w:t>Franchisee employee pay audit</w:t>
        </w:r>
        <w:r w:rsidR="00651BEB" w:rsidRPr="00E40F8E">
          <w:rPr>
            <w:noProof/>
            <w:webHidden/>
            <w:sz w:val="24"/>
            <w:szCs w:val="24"/>
          </w:rPr>
          <w:tab/>
        </w:r>
        <w:r w:rsidR="00651BEB" w:rsidRPr="00E40F8E">
          <w:rPr>
            <w:noProof/>
            <w:webHidden/>
            <w:sz w:val="24"/>
            <w:szCs w:val="24"/>
          </w:rPr>
          <w:fldChar w:fldCharType="begin"/>
        </w:r>
        <w:r w:rsidR="00651BEB" w:rsidRPr="00E40F8E">
          <w:rPr>
            <w:noProof/>
            <w:webHidden/>
            <w:sz w:val="24"/>
            <w:szCs w:val="24"/>
          </w:rPr>
          <w:instrText xml:space="preserve"> PAGEREF _Toc386631655 \h </w:instrText>
        </w:r>
        <w:r w:rsidR="00651BEB" w:rsidRPr="00E40F8E">
          <w:rPr>
            <w:noProof/>
            <w:webHidden/>
            <w:sz w:val="24"/>
            <w:szCs w:val="24"/>
          </w:rPr>
        </w:r>
        <w:r w:rsidR="00651BEB" w:rsidRPr="00E40F8E">
          <w:rPr>
            <w:noProof/>
            <w:webHidden/>
            <w:sz w:val="24"/>
            <w:szCs w:val="24"/>
          </w:rPr>
          <w:fldChar w:fldCharType="separate"/>
        </w:r>
        <w:r w:rsidR="00E43E3D">
          <w:rPr>
            <w:noProof/>
            <w:webHidden/>
            <w:sz w:val="24"/>
            <w:szCs w:val="24"/>
          </w:rPr>
          <w:t>5</w:t>
        </w:r>
        <w:r w:rsidR="00651BEB" w:rsidRPr="00E40F8E">
          <w:rPr>
            <w:noProof/>
            <w:webHidden/>
            <w:sz w:val="24"/>
            <w:szCs w:val="24"/>
          </w:rPr>
          <w:fldChar w:fldCharType="end"/>
        </w:r>
      </w:hyperlink>
    </w:p>
    <w:p w:rsidR="00651BEB" w:rsidRPr="00E40F8E" w:rsidRDefault="00E40F8E" w:rsidP="00E40F8E">
      <w:pPr>
        <w:pStyle w:val="TOC2"/>
        <w:spacing w:after="60"/>
        <w:rPr>
          <w:rFonts w:ascii="Calibri" w:hAnsi="Calibri"/>
          <w:noProof/>
          <w:sz w:val="24"/>
          <w:szCs w:val="24"/>
          <w:lang w:eastAsia="en-AU"/>
        </w:rPr>
      </w:pPr>
      <w:r w:rsidRPr="00E40F8E">
        <w:rPr>
          <w:sz w:val="24"/>
          <w:szCs w:val="24"/>
        </w:rPr>
        <w:tab/>
      </w:r>
      <w:hyperlink w:anchor="_Toc386631656" w:history="1">
        <w:r w:rsidRPr="00E40F8E">
          <w:rPr>
            <w:rStyle w:val="Hyperlink"/>
            <w:rFonts w:eastAsia="Arial"/>
            <w:noProof/>
            <w:sz w:val="24"/>
            <w:szCs w:val="24"/>
          </w:rPr>
          <w:t>3.2</w:t>
        </w:r>
        <w:r w:rsidR="00651BEB" w:rsidRPr="00E40F8E">
          <w:rPr>
            <w:rFonts w:ascii="Calibri" w:hAnsi="Calibri"/>
            <w:noProof/>
            <w:sz w:val="24"/>
            <w:szCs w:val="24"/>
            <w:lang w:eastAsia="en-AU"/>
          </w:rPr>
          <w:tab/>
        </w:r>
        <w:r w:rsidR="00651BEB" w:rsidRPr="00E40F8E">
          <w:rPr>
            <w:rStyle w:val="Hyperlink"/>
            <w:rFonts w:eastAsia="Arial"/>
            <w:noProof/>
            <w:sz w:val="24"/>
            <w:szCs w:val="24"/>
          </w:rPr>
          <w:t>Franchisee employee wage queries</w:t>
        </w:r>
        <w:r w:rsidR="00651BEB" w:rsidRPr="00E40F8E">
          <w:rPr>
            <w:noProof/>
            <w:webHidden/>
            <w:sz w:val="24"/>
            <w:szCs w:val="24"/>
          </w:rPr>
          <w:tab/>
        </w:r>
        <w:r w:rsidR="00651BEB" w:rsidRPr="00E40F8E">
          <w:rPr>
            <w:noProof/>
            <w:webHidden/>
            <w:sz w:val="24"/>
            <w:szCs w:val="24"/>
          </w:rPr>
          <w:fldChar w:fldCharType="begin"/>
        </w:r>
        <w:r w:rsidR="00651BEB" w:rsidRPr="00E40F8E">
          <w:rPr>
            <w:noProof/>
            <w:webHidden/>
            <w:sz w:val="24"/>
            <w:szCs w:val="24"/>
          </w:rPr>
          <w:instrText xml:space="preserve"> PAGEREF _Toc386631656 \h </w:instrText>
        </w:r>
        <w:r w:rsidR="00651BEB" w:rsidRPr="00E40F8E">
          <w:rPr>
            <w:noProof/>
            <w:webHidden/>
            <w:sz w:val="24"/>
            <w:szCs w:val="24"/>
          </w:rPr>
        </w:r>
        <w:r w:rsidR="00651BEB" w:rsidRPr="00E40F8E">
          <w:rPr>
            <w:noProof/>
            <w:webHidden/>
            <w:sz w:val="24"/>
            <w:szCs w:val="24"/>
          </w:rPr>
          <w:fldChar w:fldCharType="separate"/>
        </w:r>
        <w:r w:rsidR="00E43E3D">
          <w:rPr>
            <w:noProof/>
            <w:webHidden/>
            <w:sz w:val="24"/>
            <w:szCs w:val="24"/>
          </w:rPr>
          <w:t>6</w:t>
        </w:r>
        <w:r w:rsidR="00651BEB" w:rsidRPr="00E40F8E">
          <w:rPr>
            <w:noProof/>
            <w:webHidden/>
            <w:sz w:val="24"/>
            <w:szCs w:val="24"/>
          </w:rPr>
          <w:fldChar w:fldCharType="end"/>
        </w:r>
      </w:hyperlink>
    </w:p>
    <w:p w:rsidR="00651BEB" w:rsidRPr="00E40F8E" w:rsidRDefault="00E40F8E" w:rsidP="00E40F8E">
      <w:pPr>
        <w:pStyle w:val="TOC2"/>
        <w:spacing w:after="60"/>
        <w:rPr>
          <w:rFonts w:ascii="Calibri" w:hAnsi="Calibri"/>
          <w:noProof/>
          <w:sz w:val="24"/>
          <w:szCs w:val="24"/>
          <w:lang w:eastAsia="en-AU"/>
        </w:rPr>
      </w:pPr>
      <w:r w:rsidRPr="00E40F8E">
        <w:rPr>
          <w:sz w:val="24"/>
          <w:szCs w:val="24"/>
        </w:rPr>
        <w:tab/>
      </w:r>
      <w:hyperlink w:anchor="_Toc386631657" w:history="1">
        <w:r w:rsidRPr="00E40F8E">
          <w:rPr>
            <w:rStyle w:val="Hyperlink"/>
            <w:rFonts w:eastAsia="Arial"/>
            <w:noProof/>
            <w:sz w:val="24"/>
            <w:szCs w:val="24"/>
          </w:rPr>
          <w:t>3.3</w:t>
        </w:r>
        <w:r w:rsidR="00651BEB" w:rsidRPr="00E40F8E">
          <w:rPr>
            <w:rFonts w:ascii="Calibri" w:hAnsi="Calibri"/>
            <w:noProof/>
            <w:sz w:val="24"/>
            <w:szCs w:val="24"/>
            <w:lang w:eastAsia="en-AU"/>
          </w:rPr>
          <w:tab/>
        </w:r>
        <w:r w:rsidR="00651BEB" w:rsidRPr="00E40F8E">
          <w:rPr>
            <w:rStyle w:val="Hyperlink"/>
            <w:rFonts w:eastAsia="Arial"/>
            <w:noProof/>
            <w:sz w:val="24"/>
            <w:szCs w:val="24"/>
          </w:rPr>
          <w:t>Self-resolution of future complaints</w:t>
        </w:r>
        <w:r w:rsidR="00651BEB" w:rsidRPr="00E40F8E">
          <w:rPr>
            <w:noProof/>
            <w:webHidden/>
            <w:sz w:val="24"/>
            <w:szCs w:val="24"/>
          </w:rPr>
          <w:tab/>
        </w:r>
        <w:r w:rsidR="00651BEB" w:rsidRPr="00E40F8E">
          <w:rPr>
            <w:noProof/>
            <w:webHidden/>
            <w:sz w:val="24"/>
            <w:szCs w:val="24"/>
          </w:rPr>
          <w:fldChar w:fldCharType="begin"/>
        </w:r>
        <w:r w:rsidR="00651BEB" w:rsidRPr="00E40F8E">
          <w:rPr>
            <w:noProof/>
            <w:webHidden/>
            <w:sz w:val="24"/>
            <w:szCs w:val="24"/>
          </w:rPr>
          <w:instrText xml:space="preserve"> PAGEREF _Toc386631657 \h </w:instrText>
        </w:r>
        <w:r w:rsidR="00651BEB" w:rsidRPr="00E40F8E">
          <w:rPr>
            <w:noProof/>
            <w:webHidden/>
            <w:sz w:val="24"/>
            <w:szCs w:val="24"/>
          </w:rPr>
        </w:r>
        <w:r w:rsidR="00651BEB" w:rsidRPr="00E40F8E">
          <w:rPr>
            <w:noProof/>
            <w:webHidden/>
            <w:sz w:val="24"/>
            <w:szCs w:val="24"/>
          </w:rPr>
          <w:fldChar w:fldCharType="separate"/>
        </w:r>
        <w:r w:rsidR="00E43E3D">
          <w:rPr>
            <w:noProof/>
            <w:webHidden/>
            <w:sz w:val="24"/>
            <w:szCs w:val="24"/>
          </w:rPr>
          <w:t>6</w:t>
        </w:r>
        <w:r w:rsidR="00651BEB" w:rsidRPr="00E40F8E">
          <w:rPr>
            <w:noProof/>
            <w:webHidden/>
            <w:sz w:val="24"/>
            <w:szCs w:val="24"/>
          </w:rPr>
          <w:fldChar w:fldCharType="end"/>
        </w:r>
      </w:hyperlink>
    </w:p>
    <w:p w:rsidR="00651BEB" w:rsidRPr="00E40F8E" w:rsidRDefault="00E40F8E" w:rsidP="00E40F8E">
      <w:pPr>
        <w:pStyle w:val="TOC2"/>
        <w:rPr>
          <w:rFonts w:ascii="Calibri" w:hAnsi="Calibri"/>
          <w:noProof/>
          <w:sz w:val="24"/>
          <w:szCs w:val="24"/>
          <w:lang w:eastAsia="en-AU"/>
        </w:rPr>
      </w:pPr>
      <w:r w:rsidRPr="00E40F8E">
        <w:rPr>
          <w:sz w:val="24"/>
          <w:szCs w:val="24"/>
        </w:rPr>
        <w:tab/>
      </w:r>
      <w:hyperlink w:anchor="_Toc386631658" w:history="1">
        <w:r w:rsidRPr="00E40F8E">
          <w:rPr>
            <w:rStyle w:val="Hyperlink"/>
            <w:rFonts w:eastAsia="Arial"/>
            <w:noProof/>
            <w:sz w:val="24"/>
            <w:szCs w:val="24"/>
          </w:rPr>
          <w:t>3.4</w:t>
        </w:r>
        <w:r w:rsidR="00651BEB" w:rsidRPr="00E40F8E">
          <w:rPr>
            <w:rFonts w:ascii="Calibri" w:hAnsi="Calibri"/>
            <w:noProof/>
            <w:sz w:val="24"/>
            <w:szCs w:val="24"/>
            <w:lang w:eastAsia="en-AU"/>
          </w:rPr>
          <w:tab/>
        </w:r>
        <w:r w:rsidR="00651BEB" w:rsidRPr="00E40F8E">
          <w:rPr>
            <w:rStyle w:val="Hyperlink"/>
            <w:rFonts w:eastAsia="Arial"/>
            <w:noProof/>
            <w:sz w:val="24"/>
            <w:szCs w:val="24"/>
          </w:rPr>
          <w:t>Systems and procedures review</w:t>
        </w:r>
        <w:r w:rsidR="00651BEB" w:rsidRPr="00E40F8E">
          <w:rPr>
            <w:noProof/>
            <w:webHidden/>
            <w:sz w:val="24"/>
            <w:szCs w:val="24"/>
          </w:rPr>
          <w:tab/>
        </w:r>
        <w:r w:rsidR="00651BEB" w:rsidRPr="00E40F8E">
          <w:rPr>
            <w:noProof/>
            <w:webHidden/>
            <w:sz w:val="24"/>
            <w:szCs w:val="24"/>
          </w:rPr>
          <w:fldChar w:fldCharType="begin"/>
        </w:r>
        <w:r w:rsidR="00651BEB" w:rsidRPr="00E40F8E">
          <w:rPr>
            <w:noProof/>
            <w:webHidden/>
            <w:sz w:val="24"/>
            <w:szCs w:val="24"/>
          </w:rPr>
          <w:instrText xml:space="preserve"> PAGEREF _Toc386631658 \h </w:instrText>
        </w:r>
        <w:r w:rsidR="00651BEB" w:rsidRPr="00E40F8E">
          <w:rPr>
            <w:noProof/>
            <w:webHidden/>
            <w:sz w:val="24"/>
            <w:szCs w:val="24"/>
          </w:rPr>
        </w:r>
        <w:r w:rsidR="00651BEB" w:rsidRPr="00E40F8E">
          <w:rPr>
            <w:noProof/>
            <w:webHidden/>
            <w:sz w:val="24"/>
            <w:szCs w:val="24"/>
          </w:rPr>
          <w:fldChar w:fldCharType="separate"/>
        </w:r>
        <w:r w:rsidR="00E43E3D">
          <w:rPr>
            <w:noProof/>
            <w:webHidden/>
            <w:sz w:val="24"/>
            <w:szCs w:val="24"/>
          </w:rPr>
          <w:t>6</w:t>
        </w:r>
        <w:r w:rsidR="00651BEB" w:rsidRPr="00E40F8E">
          <w:rPr>
            <w:noProof/>
            <w:webHidden/>
            <w:sz w:val="24"/>
            <w:szCs w:val="24"/>
          </w:rPr>
          <w:fldChar w:fldCharType="end"/>
        </w:r>
      </w:hyperlink>
    </w:p>
    <w:p w:rsidR="00651BEB" w:rsidRPr="00E40F8E" w:rsidRDefault="0021407E" w:rsidP="0021407E">
      <w:pPr>
        <w:pStyle w:val="TOC1"/>
        <w:rPr>
          <w:rFonts w:ascii="Calibri" w:eastAsia="Times New Roman" w:hAnsi="Calibri"/>
          <w:spacing w:val="0"/>
          <w:lang w:eastAsia="en-AU"/>
        </w:rPr>
      </w:pPr>
      <w:hyperlink w:anchor="_Toc386631661" w:history="1">
        <w:r w:rsidR="00E40F8E">
          <w:rPr>
            <w:rStyle w:val="Hyperlink"/>
          </w:rPr>
          <w:t>4.</w:t>
        </w:r>
        <w:r w:rsidR="00651BEB" w:rsidRPr="00E40F8E">
          <w:rPr>
            <w:rFonts w:ascii="Calibri" w:eastAsia="Times New Roman" w:hAnsi="Calibri"/>
            <w:spacing w:val="0"/>
            <w:lang w:eastAsia="en-AU"/>
          </w:rPr>
          <w:tab/>
        </w:r>
        <w:r w:rsidR="00651BEB" w:rsidRPr="00E40F8E">
          <w:rPr>
            <w:rStyle w:val="Hyperlink"/>
          </w:rPr>
          <w:t>Audit outcomes and rectification</w:t>
        </w:r>
        <w:r w:rsidR="00651BEB" w:rsidRPr="00E40F8E">
          <w:rPr>
            <w:webHidden/>
          </w:rPr>
          <w:tab/>
        </w:r>
        <w:r w:rsidR="00651BEB" w:rsidRPr="00E40F8E">
          <w:rPr>
            <w:webHidden/>
          </w:rPr>
          <w:fldChar w:fldCharType="begin"/>
        </w:r>
        <w:r w:rsidR="00651BEB" w:rsidRPr="00E40F8E">
          <w:rPr>
            <w:webHidden/>
          </w:rPr>
          <w:instrText xml:space="preserve"> PAGEREF _Toc386631661 \h </w:instrText>
        </w:r>
        <w:r w:rsidR="00651BEB" w:rsidRPr="00E40F8E">
          <w:rPr>
            <w:webHidden/>
          </w:rPr>
        </w:r>
        <w:r w:rsidR="00651BEB" w:rsidRPr="00E40F8E">
          <w:rPr>
            <w:webHidden/>
          </w:rPr>
          <w:fldChar w:fldCharType="separate"/>
        </w:r>
        <w:r w:rsidR="00E43E3D">
          <w:rPr>
            <w:webHidden/>
          </w:rPr>
          <w:t>7</w:t>
        </w:r>
        <w:r w:rsidR="00651BEB" w:rsidRPr="00E40F8E">
          <w:rPr>
            <w:webHidden/>
          </w:rPr>
          <w:fldChar w:fldCharType="end"/>
        </w:r>
      </w:hyperlink>
    </w:p>
    <w:p w:rsidR="00651BEB" w:rsidRPr="00E40F8E" w:rsidRDefault="0021407E" w:rsidP="0021407E">
      <w:pPr>
        <w:pStyle w:val="TOC1"/>
        <w:rPr>
          <w:rFonts w:ascii="Calibri" w:eastAsia="Times New Roman" w:hAnsi="Calibri"/>
          <w:spacing w:val="0"/>
          <w:lang w:eastAsia="en-AU"/>
        </w:rPr>
      </w:pPr>
      <w:hyperlink w:anchor="_Toc386631662" w:history="1">
        <w:r w:rsidR="00E40F8E">
          <w:rPr>
            <w:rStyle w:val="Hyperlink"/>
          </w:rPr>
          <w:t>5.</w:t>
        </w:r>
        <w:r w:rsidR="00651BEB" w:rsidRPr="00E40F8E">
          <w:rPr>
            <w:rFonts w:ascii="Calibri" w:eastAsia="Times New Roman" w:hAnsi="Calibri"/>
            <w:spacing w:val="0"/>
            <w:lang w:eastAsia="en-AU"/>
          </w:rPr>
          <w:tab/>
        </w:r>
        <w:r w:rsidR="00651BEB" w:rsidRPr="00E40F8E">
          <w:rPr>
            <w:rStyle w:val="Hyperlink"/>
          </w:rPr>
          <w:t>Conclusions</w:t>
        </w:r>
        <w:r w:rsidR="00651BEB" w:rsidRPr="00E40F8E">
          <w:rPr>
            <w:webHidden/>
          </w:rPr>
          <w:tab/>
        </w:r>
        <w:r w:rsidR="00651BEB" w:rsidRPr="00E40F8E">
          <w:rPr>
            <w:webHidden/>
          </w:rPr>
          <w:fldChar w:fldCharType="begin"/>
        </w:r>
        <w:r w:rsidR="00651BEB" w:rsidRPr="00E40F8E">
          <w:rPr>
            <w:webHidden/>
          </w:rPr>
          <w:instrText xml:space="preserve"> PAGEREF _Toc386631662 \h </w:instrText>
        </w:r>
        <w:r w:rsidR="00651BEB" w:rsidRPr="00E40F8E">
          <w:rPr>
            <w:webHidden/>
          </w:rPr>
        </w:r>
        <w:r w:rsidR="00651BEB" w:rsidRPr="00E40F8E">
          <w:rPr>
            <w:webHidden/>
          </w:rPr>
          <w:fldChar w:fldCharType="separate"/>
        </w:r>
        <w:r w:rsidR="00E43E3D">
          <w:rPr>
            <w:webHidden/>
          </w:rPr>
          <w:t>7</w:t>
        </w:r>
        <w:r w:rsidR="00651BEB" w:rsidRPr="00E40F8E">
          <w:rPr>
            <w:webHidden/>
          </w:rPr>
          <w:fldChar w:fldCharType="end"/>
        </w:r>
      </w:hyperlink>
    </w:p>
    <w:p w:rsidR="00651BEB" w:rsidRPr="00E40F8E" w:rsidRDefault="0021407E" w:rsidP="0021407E">
      <w:pPr>
        <w:pStyle w:val="TOC1"/>
        <w:rPr>
          <w:rFonts w:ascii="Calibri" w:eastAsia="Times New Roman" w:hAnsi="Calibri"/>
          <w:spacing w:val="0"/>
          <w:lang w:eastAsia="en-AU"/>
        </w:rPr>
      </w:pPr>
      <w:hyperlink w:anchor="_Toc386631663" w:history="1">
        <w:r w:rsidR="00E40F8E">
          <w:rPr>
            <w:rStyle w:val="Hyperlink"/>
          </w:rPr>
          <w:t>6.</w:t>
        </w:r>
        <w:r w:rsidR="00651BEB" w:rsidRPr="00E40F8E">
          <w:rPr>
            <w:rFonts w:ascii="Calibri" w:eastAsia="Times New Roman" w:hAnsi="Calibri"/>
            <w:spacing w:val="0"/>
            <w:lang w:eastAsia="en-AU"/>
          </w:rPr>
          <w:tab/>
        </w:r>
        <w:r w:rsidR="00651BEB" w:rsidRPr="00E40F8E">
          <w:rPr>
            <w:rStyle w:val="Hyperlink"/>
          </w:rPr>
          <w:t>About the Fair Work Ombudsman</w:t>
        </w:r>
        <w:r w:rsidR="00651BEB" w:rsidRPr="00E40F8E">
          <w:rPr>
            <w:webHidden/>
          </w:rPr>
          <w:tab/>
        </w:r>
        <w:r w:rsidR="00651BEB" w:rsidRPr="00E40F8E">
          <w:rPr>
            <w:webHidden/>
          </w:rPr>
          <w:fldChar w:fldCharType="begin"/>
        </w:r>
        <w:r w:rsidR="00651BEB" w:rsidRPr="00E40F8E">
          <w:rPr>
            <w:webHidden/>
          </w:rPr>
          <w:instrText xml:space="preserve"> PAGEREF _Toc386631663 \h </w:instrText>
        </w:r>
        <w:r w:rsidR="00651BEB" w:rsidRPr="00E40F8E">
          <w:rPr>
            <w:webHidden/>
          </w:rPr>
        </w:r>
        <w:r w:rsidR="00651BEB" w:rsidRPr="00E40F8E">
          <w:rPr>
            <w:webHidden/>
          </w:rPr>
          <w:fldChar w:fldCharType="separate"/>
        </w:r>
        <w:r w:rsidR="00E43E3D">
          <w:rPr>
            <w:webHidden/>
          </w:rPr>
          <w:t>8</w:t>
        </w:r>
        <w:r w:rsidR="00651BEB" w:rsidRPr="00E40F8E">
          <w:rPr>
            <w:webHidden/>
          </w:rPr>
          <w:fldChar w:fldCharType="end"/>
        </w:r>
      </w:hyperlink>
    </w:p>
    <w:p w:rsidR="00651BEB" w:rsidRPr="00E40F8E" w:rsidRDefault="0021407E" w:rsidP="0021407E">
      <w:pPr>
        <w:pStyle w:val="TOC1"/>
        <w:rPr>
          <w:rFonts w:ascii="Calibri" w:eastAsia="Times New Roman" w:hAnsi="Calibri"/>
          <w:spacing w:val="0"/>
          <w:lang w:eastAsia="en-AU"/>
        </w:rPr>
      </w:pPr>
      <w:hyperlink w:anchor="_Toc386631664" w:history="1">
        <w:r w:rsidR="00E40F8E">
          <w:rPr>
            <w:rStyle w:val="Hyperlink"/>
          </w:rPr>
          <w:t>7.</w:t>
        </w:r>
        <w:r w:rsidR="00651BEB" w:rsidRPr="00E40F8E">
          <w:rPr>
            <w:rFonts w:ascii="Calibri" w:eastAsia="Times New Roman" w:hAnsi="Calibri"/>
            <w:spacing w:val="0"/>
            <w:lang w:eastAsia="en-AU"/>
          </w:rPr>
          <w:tab/>
        </w:r>
        <w:r w:rsidR="00651BEB" w:rsidRPr="00E40F8E">
          <w:rPr>
            <w:rStyle w:val="Hyperlink"/>
          </w:rPr>
          <w:t>Appendix A</w:t>
        </w:r>
        <w:r w:rsidR="00E40F8E" w:rsidRPr="00E40F8E">
          <w:rPr>
            <w:rStyle w:val="Hyperlink"/>
          </w:rPr>
          <w:t xml:space="preserve">  -  Quick Service Restaurants Holdings Pty Ltd’s</w:t>
        </w:r>
        <w:r w:rsidRPr="00E40F8E">
          <w:rPr>
            <w:rStyle w:val="Hyperlink"/>
          </w:rPr>
          <w:t xml:space="preserve"> </w:t>
        </w:r>
        <w:r w:rsidR="00E40F8E" w:rsidRPr="00E40F8E">
          <w:rPr>
            <w:rStyle w:val="Hyperlink"/>
          </w:rPr>
          <w:t>“Repo</w:t>
        </w:r>
        <w:r w:rsidR="00E40F8E">
          <w:rPr>
            <w:rStyle w:val="Hyperlink"/>
          </w:rPr>
          <w:t xml:space="preserve">rt </w:t>
        </w:r>
        <w:r w:rsidR="004B1E0F">
          <w:rPr>
            <w:rStyle w:val="Hyperlink"/>
          </w:rPr>
          <w:t>on Proactiv</w:t>
        </w:r>
        <w:r w:rsidR="00E40F8E" w:rsidRPr="00E40F8E">
          <w:rPr>
            <w:rStyle w:val="Hyperlink"/>
          </w:rPr>
          <w:t xml:space="preserve">e Compliance Deed between Red Rooster Foods </w:t>
        </w:r>
        <w:r w:rsidR="00E40F8E">
          <w:rPr>
            <w:rStyle w:val="Hyperlink"/>
          </w:rPr>
          <w:tab/>
        </w:r>
        <w:r w:rsidR="00E40F8E" w:rsidRPr="00E40F8E">
          <w:rPr>
            <w:rStyle w:val="Hyperlink"/>
          </w:rPr>
          <w:t>Pty Ltd and the Commonwealth of Australia</w:t>
        </w:r>
        <w:r w:rsidR="00E40F8E">
          <w:rPr>
            <w:rStyle w:val="Hyperlink"/>
          </w:rPr>
          <w:t>”</w:t>
        </w:r>
        <w:r w:rsidR="00651BEB" w:rsidRPr="00E40F8E">
          <w:rPr>
            <w:webHidden/>
          </w:rPr>
          <w:tab/>
        </w:r>
        <w:r w:rsidR="00651BEB" w:rsidRPr="00E40F8E">
          <w:rPr>
            <w:webHidden/>
          </w:rPr>
          <w:fldChar w:fldCharType="begin"/>
        </w:r>
        <w:r w:rsidR="00651BEB" w:rsidRPr="00E40F8E">
          <w:rPr>
            <w:webHidden/>
          </w:rPr>
          <w:instrText xml:space="preserve"> PAGEREF _Toc386631664 \h </w:instrText>
        </w:r>
        <w:r w:rsidR="00651BEB" w:rsidRPr="00E40F8E">
          <w:rPr>
            <w:webHidden/>
          </w:rPr>
        </w:r>
        <w:r w:rsidR="00651BEB" w:rsidRPr="00E40F8E">
          <w:rPr>
            <w:webHidden/>
          </w:rPr>
          <w:fldChar w:fldCharType="separate"/>
        </w:r>
        <w:r w:rsidR="00E43E3D">
          <w:rPr>
            <w:webHidden/>
          </w:rPr>
          <w:t>9</w:t>
        </w:r>
        <w:r w:rsidR="00651BEB" w:rsidRPr="00E40F8E">
          <w:rPr>
            <w:webHidden/>
          </w:rPr>
          <w:fldChar w:fldCharType="end"/>
        </w:r>
      </w:hyperlink>
    </w:p>
    <w:p w:rsidR="00601764" w:rsidRDefault="00651BEB" w:rsidP="00843CCE">
      <w:pPr>
        <w:rPr>
          <w:rFonts w:eastAsia="Arial" w:cs="Arial"/>
          <w:color w:val="000000"/>
        </w:rPr>
      </w:pPr>
      <w:r w:rsidRPr="00E40F8E">
        <w:rPr>
          <w:b/>
          <w:bCs/>
          <w:noProof/>
          <w:sz w:val="24"/>
          <w:szCs w:val="24"/>
        </w:rPr>
        <w:fldChar w:fldCharType="end"/>
      </w:r>
    </w:p>
    <w:p w:rsidR="00601764" w:rsidRDefault="00601764" w:rsidP="002C2D16">
      <w:pPr>
        <w:rPr>
          <w:rFonts w:eastAsia="Arial" w:cs="Arial"/>
          <w:color w:val="000000"/>
        </w:rPr>
      </w:pPr>
      <w:r>
        <w:rPr>
          <w:rFonts w:eastAsia="Arial" w:cs="Arial"/>
          <w:color w:val="000000"/>
        </w:rPr>
        <w:br w:type="page"/>
      </w:r>
    </w:p>
    <w:p w:rsidR="00601764" w:rsidRDefault="00601764" w:rsidP="00843CCE">
      <w:pPr>
        <w:rPr>
          <w:rFonts w:eastAsia="Arial" w:cs="Arial"/>
          <w:color w:val="000000"/>
        </w:rPr>
      </w:pPr>
    </w:p>
    <w:p w:rsidR="00601764" w:rsidRPr="00651BEB" w:rsidRDefault="00601764" w:rsidP="002C00B9">
      <w:pPr>
        <w:pStyle w:val="Heading1"/>
        <w:spacing w:before="360" w:after="360"/>
        <w:rPr>
          <w:rFonts w:eastAsia="Arial"/>
          <w:color w:val="548DD4"/>
          <w:sz w:val="20"/>
        </w:rPr>
      </w:pPr>
      <w:r w:rsidRPr="00651BEB">
        <w:rPr>
          <w:rFonts w:eastAsia="Arial"/>
          <w:color w:val="548DD4"/>
        </w:rPr>
        <w:tab/>
      </w:r>
      <w:bookmarkStart w:id="0" w:name="_Toc386631649"/>
      <w:r w:rsidRPr="00651BEB">
        <w:rPr>
          <w:rFonts w:eastAsia="Arial"/>
          <w:color w:val="548DD4"/>
        </w:rPr>
        <w:t>Summary and key results</w:t>
      </w:r>
      <w:bookmarkEnd w:id="0"/>
    </w:p>
    <w:p w:rsidR="00601764" w:rsidRPr="00AF0274" w:rsidRDefault="0021407E" w:rsidP="002C2D16">
      <w:r>
        <w:rPr>
          <w:noProof/>
          <w:lang w:eastAsia="en-AU"/>
        </w:rPr>
        <mc:AlternateContent>
          <mc:Choice Requires="wps">
            <w:drawing>
              <wp:inline distT="0" distB="0" distL="0" distR="0">
                <wp:extent cx="5956935" cy="2143125"/>
                <wp:effectExtent l="0" t="0" r="5715" b="9525"/>
                <wp:docPr id="2" name="Text Box 4" descr="Key Results&#10;• 22,409 adult delivery drivers’ pays were audited&#10;• 297 in-store employee’s pays were audited&#10;• 28 employee pay queries were actioned&#10;• 1,628 current and former adult delivery drivers were back paid $588,160&#10;• 2 in-store employees were back-paid $338&#10;• Processes implemented to improve workplace relations complianc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43125"/>
                        </a:xfrm>
                        <a:prstGeom prst="rect">
                          <a:avLst/>
                        </a:prstGeom>
                        <a:solidFill>
                          <a:srgbClr val="F2F2F2"/>
                        </a:solidFill>
                        <a:ln w="9525">
                          <a:solidFill>
                            <a:srgbClr val="000000"/>
                          </a:solidFill>
                          <a:miter lim="800000"/>
                          <a:headEnd/>
                          <a:tailEnd/>
                        </a:ln>
                      </wps:spPr>
                      <wps:txbx>
                        <w:txbxContent>
                          <w:p w:rsidR="00601764" w:rsidRPr="00651BEB" w:rsidRDefault="00601764" w:rsidP="001C4882">
                            <w:pPr>
                              <w:spacing w:before="240"/>
                              <w:rPr>
                                <w:rFonts w:eastAsia="Arial" w:cs="Arial"/>
                                <w:b/>
                                <w:color w:val="000000"/>
                                <w:sz w:val="24"/>
                              </w:rPr>
                            </w:pPr>
                            <w:r w:rsidRPr="001C4882">
                              <w:rPr>
                                <w:rFonts w:cs="Arial"/>
                                <w:b/>
                                <w:sz w:val="24"/>
                                <w:szCs w:val="24"/>
                              </w:rPr>
                              <w:t xml:space="preserve">Key </w:t>
                            </w:r>
                            <w:r>
                              <w:rPr>
                                <w:rFonts w:cs="Arial"/>
                                <w:b/>
                                <w:sz w:val="24"/>
                                <w:szCs w:val="24"/>
                              </w:rPr>
                              <w:t>r</w:t>
                            </w:r>
                            <w:r w:rsidRPr="001C4882">
                              <w:rPr>
                                <w:rFonts w:cs="Arial"/>
                                <w:b/>
                                <w:sz w:val="24"/>
                                <w:szCs w:val="24"/>
                              </w:rPr>
                              <w:t xml:space="preserve">esults  </w:t>
                            </w:r>
                          </w:p>
                          <w:p w:rsidR="00601764" w:rsidRPr="00843CCE" w:rsidRDefault="00601764" w:rsidP="00651BEB">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The wages of 3140 employees were audit</w:t>
                            </w:r>
                            <w:r w:rsidR="00D95284">
                              <w:rPr>
                                <w:rFonts w:eastAsia="Arial" w:cs="Arial"/>
                                <w:color w:val="000000"/>
                                <w:sz w:val="22"/>
                                <w:szCs w:val="22"/>
                              </w:rPr>
                              <w:t xml:space="preserve">ed in </w:t>
                            </w:r>
                            <w:r w:rsidR="003E18D1">
                              <w:rPr>
                                <w:rFonts w:eastAsia="Arial" w:cs="Arial"/>
                                <w:color w:val="000000"/>
                                <w:sz w:val="22"/>
                                <w:szCs w:val="22"/>
                              </w:rPr>
                              <w:t>83</w:t>
                            </w:r>
                            <w:r w:rsidR="00D95284">
                              <w:rPr>
                                <w:rFonts w:eastAsia="Arial" w:cs="Arial"/>
                                <w:color w:val="000000"/>
                                <w:sz w:val="22"/>
                                <w:szCs w:val="22"/>
                              </w:rPr>
                              <w:t xml:space="preserve"> franchise outlets, with </w:t>
                            </w:r>
                            <w:r w:rsidRPr="00843CCE">
                              <w:rPr>
                                <w:rFonts w:eastAsia="Arial" w:cs="Arial"/>
                                <w:color w:val="000000"/>
                                <w:sz w:val="22"/>
                                <w:szCs w:val="22"/>
                              </w:rPr>
                              <w:t>$645 253</w:t>
                            </w:r>
                            <w:r w:rsidRPr="00651BEB">
                              <w:rPr>
                                <w:rFonts w:eastAsia="Arial" w:cs="Arial"/>
                                <w:color w:val="000000"/>
                                <w:sz w:val="22"/>
                                <w:szCs w:val="22"/>
                              </w:rPr>
                              <w:t xml:space="preserve"> </w:t>
                            </w:r>
                            <w:r w:rsidRPr="00843CCE">
                              <w:rPr>
                                <w:rFonts w:eastAsia="Arial" w:cs="Arial"/>
                                <w:color w:val="000000"/>
                                <w:sz w:val="22"/>
                                <w:szCs w:val="22"/>
                              </w:rPr>
                              <w:t xml:space="preserve"> </w:t>
                            </w:r>
                            <w:r w:rsidR="002C00B9">
                              <w:rPr>
                                <w:rFonts w:eastAsia="Arial" w:cs="Arial"/>
                                <w:color w:val="000000"/>
                                <w:sz w:val="22"/>
                                <w:szCs w:val="22"/>
                              </w:rPr>
                              <w:t>in</w:t>
                            </w:r>
                            <w:r w:rsidRPr="00843CCE">
                              <w:rPr>
                                <w:rFonts w:eastAsia="Arial" w:cs="Arial"/>
                                <w:color w:val="000000"/>
                                <w:sz w:val="22"/>
                                <w:szCs w:val="22"/>
                              </w:rPr>
                              <w:t xml:space="preserve"> underpayments</w:t>
                            </w:r>
                            <w:r w:rsidR="002C00B9">
                              <w:rPr>
                                <w:rFonts w:eastAsia="Arial" w:cs="Arial"/>
                                <w:color w:val="000000"/>
                                <w:sz w:val="22"/>
                                <w:szCs w:val="22"/>
                              </w:rPr>
                              <w:t xml:space="preserve"> identified</w:t>
                            </w:r>
                          </w:p>
                          <w:p w:rsidR="00601764" w:rsidRPr="00843CCE" w:rsidRDefault="00601764" w:rsidP="00651BEB">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Four employee pay queries were actioned</w:t>
                            </w:r>
                          </w:p>
                          <w:p w:rsidR="00601764" w:rsidRPr="00843CCE" w:rsidRDefault="00FD6830" w:rsidP="00651BEB">
                            <w:pPr>
                              <w:numPr>
                                <w:ilvl w:val="0"/>
                                <w:numId w:val="51"/>
                              </w:numPr>
                              <w:spacing w:line="276" w:lineRule="auto"/>
                              <w:ind w:left="709" w:hanging="360"/>
                              <w:rPr>
                                <w:rFonts w:eastAsia="Arial" w:cs="Arial"/>
                                <w:color w:val="000000"/>
                                <w:sz w:val="22"/>
                                <w:szCs w:val="22"/>
                              </w:rPr>
                            </w:pPr>
                            <w:r>
                              <w:rPr>
                                <w:rFonts w:eastAsia="Arial" w:cs="Arial"/>
                                <w:color w:val="000000"/>
                                <w:sz w:val="22"/>
                                <w:szCs w:val="22"/>
                              </w:rPr>
                              <w:t>1206</w:t>
                            </w:r>
                            <w:r w:rsidR="00601764" w:rsidRPr="00843CCE">
                              <w:rPr>
                                <w:rFonts w:eastAsia="Arial" w:cs="Arial"/>
                                <w:color w:val="000000"/>
                                <w:sz w:val="22"/>
                                <w:szCs w:val="22"/>
                              </w:rPr>
                              <w:t xml:space="preserve"> employees and former employees have already been back paid </w:t>
                            </w:r>
                            <w:r>
                              <w:rPr>
                                <w:rFonts w:eastAsia="Arial" w:cs="Arial"/>
                                <w:color w:val="000000"/>
                                <w:sz w:val="22"/>
                                <w:szCs w:val="22"/>
                              </w:rPr>
                              <w:t xml:space="preserve">in full, receiving </w:t>
                            </w:r>
                            <w:r w:rsidR="00601764" w:rsidRPr="00843CCE">
                              <w:rPr>
                                <w:rFonts w:eastAsia="Arial" w:cs="Arial"/>
                                <w:color w:val="000000"/>
                                <w:sz w:val="22"/>
                                <w:szCs w:val="22"/>
                              </w:rPr>
                              <w:t>$3</w:t>
                            </w:r>
                            <w:r>
                              <w:rPr>
                                <w:rFonts w:eastAsia="Arial" w:cs="Arial"/>
                                <w:color w:val="000000"/>
                                <w:sz w:val="22"/>
                                <w:szCs w:val="22"/>
                              </w:rPr>
                              <w:t>46 285</w:t>
                            </w:r>
                            <w:r w:rsidR="00601764" w:rsidRPr="00651BEB">
                              <w:rPr>
                                <w:rFonts w:eastAsia="Arial" w:cs="Arial"/>
                                <w:color w:val="000000"/>
                                <w:sz w:val="22"/>
                                <w:szCs w:val="22"/>
                              </w:rPr>
                              <w:t xml:space="preserve"> </w:t>
                            </w:r>
                            <w:r w:rsidR="00601764" w:rsidRPr="00843CCE">
                              <w:rPr>
                                <w:rFonts w:eastAsia="Arial" w:cs="Arial"/>
                                <w:color w:val="000000"/>
                                <w:sz w:val="22"/>
                                <w:szCs w:val="22"/>
                              </w:rPr>
                              <w:t xml:space="preserve">in </w:t>
                            </w:r>
                            <w:r>
                              <w:rPr>
                                <w:rFonts w:eastAsia="Arial" w:cs="Arial"/>
                                <w:color w:val="000000"/>
                                <w:sz w:val="22"/>
                                <w:szCs w:val="22"/>
                              </w:rPr>
                              <w:t>total</w:t>
                            </w:r>
                          </w:p>
                          <w:p w:rsidR="00601764" w:rsidRPr="00843CCE" w:rsidRDefault="00601764" w:rsidP="00651BEB">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Processes have been implemented to improve compliance with Commonwealth workplace laws.</w:t>
                            </w:r>
                          </w:p>
                          <w:p w:rsidR="00601764" w:rsidRPr="00FE442C" w:rsidRDefault="00601764" w:rsidP="0081620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alt="Key Results&#10;• 22,409 adult delivery drivers’ pays were audited&#10;• 297 in-store employee’s pays were audited&#10;• 28 employee pay queries were actioned&#10;• 1,628 current and former adult delivery drivers were back paid $588,160&#10;• 2 in-store employees were back-paid $338&#10;• Processes implemented to improve workplace relations compliance &#10;" style="width:469.0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" fillcolor="#f2f2f2">
                <v:textbox>
                  <w:txbxContent>
                    <w:p w:rsidR="00601764" w:rsidRPr="00651BEB" w:rsidRDefault="00601764" w:rsidP="001C4882">
                      <w:pPr>
                        <w:spacing w:before="240"/>
                        <w:rPr>
                          <w:rFonts w:eastAsia="Arial" w:cs="Arial"/>
                          <w:b/>
                          <w:color w:val="000000"/>
                          <w:sz w:val="24"/>
                        </w:rPr>
                      </w:pPr>
                      <w:r w:rsidRPr="001C4882">
                        <w:rPr>
                          <w:rFonts w:cs="Arial"/>
                          <w:b/>
                          <w:sz w:val="24"/>
                          <w:szCs w:val="24"/>
                        </w:rPr>
                        <w:t xml:space="preserve">Key </w:t>
                      </w:r>
                      <w:r>
                        <w:rPr>
                          <w:rFonts w:cs="Arial"/>
                          <w:b/>
                          <w:sz w:val="24"/>
                          <w:szCs w:val="24"/>
                        </w:rPr>
                        <w:t>r</w:t>
                      </w:r>
                      <w:r w:rsidRPr="001C4882">
                        <w:rPr>
                          <w:rFonts w:cs="Arial"/>
                          <w:b/>
                          <w:sz w:val="24"/>
                          <w:szCs w:val="24"/>
                        </w:rPr>
                        <w:t xml:space="preserve">esults  </w:t>
                      </w:r>
                    </w:p>
                    <w:p w:rsidR="00601764" w:rsidRPr="00843CCE" w:rsidRDefault="00601764" w:rsidP="00651BEB">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The wages of 3140 employees were audit</w:t>
                      </w:r>
                      <w:r w:rsidR="00D95284">
                        <w:rPr>
                          <w:rFonts w:eastAsia="Arial" w:cs="Arial"/>
                          <w:color w:val="000000"/>
                          <w:sz w:val="22"/>
                          <w:szCs w:val="22"/>
                        </w:rPr>
                        <w:t xml:space="preserve">ed in </w:t>
                      </w:r>
                      <w:r w:rsidR="003E18D1">
                        <w:rPr>
                          <w:rFonts w:eastAsia="Arial" w:cs="Arial"/>
                          <w:color w:val="000000"/>
                          <w:sz w:val="22"/>
                          <w:szCs w:val="22"/>
                        </w:rPr>
                        <w:t>83</w:t>
                      </w:r>
                      <w:r w:rsidR="00D95284">
                        <w:rPr>
                          <w:rFonts w:eastAsia="Arial" w:cs="Arial"/>
                          <w:color w:val="000000"/>
                          <w:sz w:val="22"/>
                          <w:szCs w:val="22"/>
                        </w:rPr>
                        <w:t xml:space="preserve"> franchise outlets, with </w:t>
                      </w:r>
                      <w:r w:rsidRPr="00843CCE">
                        <w:rPr>
                          <w:rFonts w:eastAsia="Arial" w:cs="Arial"/>
                          <w:color w:val="000000"/>
                          <w:sz w:val="22"/>
                          <w:szCs w:val="22"/>
                        </w:rPr>
                        <w:t>$645 253</w:t>
                      </w:r>
                      <w:r w:rsidRPr="00651BEB">
                        <w:rPr>
                          <w:rFonts w:eastAsia="Arial" w:cs="Arial"/>
                          <w:color w:val="000000"/>
                          <w:sz w:val="22"/>
                          <w:szCs w:val="22"/>
                        </w:rPr>
                        <w:t xml:space="preserve"> </w:t>
                      </w:r>
                      <w:r w:rsidRPr="00843CCE">
                        <w:rPr>
                          <w:rFonts w:eastAsia="Arial" w:cs="Arial"/>
                          <w:color w:val="000000"/>
                          <w:sz w:val="22"/>
                          <w:szCs w:val="22"/>
                        </w:rPr>
                        <w:t xml:space="preserve"> </w:t>
                      </w:r>
                      <w:r w:rsidR="002C00B9">
                        <w:rPr>
                          <w:rFonts w:eastAsia="Arial" w:cs="Arial"/>
                          <w:color w:val="000000"/>
                          <w:sz w:val="22"/>
                          <w:szCs w:val="22"/>
                        </w:rPr>
                        <w:t>in</w:t>
                      </w:r>
                      <w:r w:rsidRPr="00843CCE">
                        <w:rPr>
                          <w:rFonts w:eastAsia="Arial" w:cs="Arial"/>
                          <w:color w:val="000000"/>
                          <w:sz w:val="22"/>
                          <w:szCs w:val="22"/>
                        </w:rPr>
                        <w:t xml:space="preserve"> underpayments</w:t>
                      </w:r>
                      <w:r w:rsidR="002C00B9">
                        <w:rPr>
                          <w:rFonts w:eastAsia="Arial" w:cs="Arial"/>
                          <w:color w:val="000000"/>
                          <w:sz w:val="22"/>
                          <w:szCs w:val="22"/>
                        </w:rPr>
                        <w:t xml:space="preserve"> identified</w:t>
                      </w:r>
                    </w:p>
                    <w:p w:rsidR="00601764" w:rsidRPr="00843CCE" w:rsidRDefault="00601764" w:rsidP="00651BEB">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Four employee pay queries were actioned</w:t>
                      </w:r>
                    </w:p>
                    <w:p w:rsidR="00601764" w:rsidRPr="00843CCE" w:rsidRDefault="00FD6830" w:rsidP="00651BEB">
                      <w:pPr>
                        <w:numPr>
                          <w:ilvl w:val="0"/>
                          <w:numId w:val="51"/>
                        </w:numPr>
                        <w:spacing w:line="276" w:lineRule="auto"/>
                        <w:ind w:left="709" w:hanging="360"/>
                        <w:rPr>
                          <w:rFonts w:eastAsia="Arial" w:cs="Arial"/>
                          <w:color w:val="000000"/>
                          <w:sz w:val="22"/>
                          <w:szCs w:val="22"/>
                        </w:rPr>
                      </w:pPr>
                      <w:r>
                        <w:rPr>
                          <w:rFonts w:eastAsia="Arial" w:cs="Arial"/>
                          <w:color w:val="000000"/>
                          <w:sz w:val="22"/>
                          <w:szCs w:val="22"/>
                        </w:rPr>
                        <w:t>1206</w:t>
                      </w:r>
                      <w:r w:rsidR="00601764" w:rsidRPr="00843CCE">
                        <w:rPr>
                          <w:rFonts w:eastAsia="Arial" w:cs="Arial"/>
                          <w:color w:val="000000"/>
                          <w:sz w:val="22"/>
                          <w:szCs w:val="22"/>
                        </w:rPr>
                        <w:t xml:space="preserve"> employees and former employees have already been back paid </w:t>
                      </w:r>
                      <w:r>
                        <w:rPr>
                          <w:rFonts w:eastAsia="Arial" w:cs="Arial"/>
                          <w:color w:val="000000"/>
                          <w:sz w:val="22"/>
                          <w:szCs w:val="22"/>
                        </w:rPr>
                        <w:t xml:space="preserve">in full, receiving </w:t>
                      </w:r>
                      <w:r w:rsidR="00601764" w:rsidRPr="00843CCE">
                        <w:rPr>
                          <w:rFonts w:eastAsia="Arial" w:cs="Arial"/>
                          <w:color w:val="000000"/>
                          <w:sz w:val="22"/>
                          <w:szCs w:val="22"/>
                        </w:rPr>
                        <w:t>$3</w:t>
                      </w:r>
                      <w:r>
                        <w:rPr>
                          <w:rFonts w:eastAsia="Arial" w:cs="Arial"/>
                          <w:color w:val="000000"/>
                          <w:sz w:val="22"/>
                          <w:szCs w:val="22"/>
                        </w:rPr>
                        <w:t>46 285</w:t>
                      </w:r>
                      <w:r w:rsidR="00601764" w:rsidRPr="00651BEB">
                        <w:rPr>
                          <w:rFonts w:eastAsia="Arial" w:cs="Arial"/>
                          <w:color w:val="000000"/>
                          <w:sz w:val="22"/>
                          <w:szCs w:val="22"/>
                        </w:rPr>
                        <w:t xml:space="preserve"> </w:t>
                      </w:r>
                      <w:r w:rsidR="00601764" w:rsidRPr="00843CCE">
                        <w:rPr>
                          <w:rFonts w:eastAsia="Arial" w:cs="Arial"/>
                          <w:color w:val="000000"/>
                          <w:sz w:val="22"/>
                          <w:szCs w:val="22"/>
                        </w:rPr>
                        <w:t xml:space="preserve">in </w:t>
                      </w:r>
                      <w:r>
                        <w:rPr>
                          <w:rFonts w:eastAsia="Arial" w:cs="Arial"/>
                          <w:color w:val="000000"/>
                          <w:sz w:val="22"/>
                          <w:szCs w:val="22"/>
                        </w:rPr>
                        <w:t>total</w:t>
                      </w:r>
                    </w:p>
                    <w:p w:rsidR="00601764" w:rsidRPr="00843CCE" w:rsidRDefault="00601764" w:rsidP="00651BEB">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Processes have been implemented to improve compliance with Commonwealth workplace laws.</w:t>
                      </w:r>
                    </w:p>
                    <w:p w:rsidR="00601764" w:rsidRPr="00FE442C" w:rsidRDefault="00601764" w:rsidP="00816202"/>
                  </w:txbxContent>
                </v:textbox>
                <w10:anchorlock/>
              </v:shape>
            </w:pict>
          </mc:Fallback>
        </mc:AlternateContent>
      </w:r>
    </w:p>
    <w:p w:rsidR="00601764" w:rsidRDefault="00601764" w:rsidP="00843CCE">
      <w:pPr>
        <w:tabs>
          <w:tab w:val="left" w:pos="1800"/>
        </w:tabs>
        <w:rPr>
          <w:rFonts w:eastAsia="Arial" w:cs="Arial"/>
          <w:sz w:val="24"/>
        </w:rPr>
      </w:pPr>
    </w:p>
    <w:p w:rsidR="00601764" w:rsidRPr="00843CCE" w:rsidRDefault="00601764" w:rsidP="00843CCE">
      <w:pPr>
        <w:tabs>
          <w:tab w:val="left" w:pos="1800"/>
        </w:tabs>
        <w:rPr>
          <w:rFonts w:eastAsia="Arial" w:cs="Arial"/>
          <w:sz w:val="22"/>
          <w:szCs w:val="22"/>
        </w:rPr>
      </w:pPr>
      <w:r w:rsidRPr="00843CCE">
        <w:rPr>
          <w:rFonts w:eastAsia="Arial" w:cs="Arial"/>
          <w:sz w:val="22"/>
          <w:szCs w:val="22"/>
        </w:rPr>
        <w:t>In February 2012, Red Rooster Foods Pty Ltd (</w:t>
      </w:r>
      <w:r w:rsidRPr="00843CCE">
        <w:rPr>
          <w:rFonts w:eastAsia="Arial" w:cs="Arial"/>
          <w:b/>
          <w:sz w:val="22"/>
          <w:szCs w:val="22"/>
        </w:rPr>
        <w:t>Red Rooster</w:t>
      </w:r>
      <w:r w:rsidRPr="00843CCE">
        <w:rPr>
          <w:rFonts w:eastAsia="Arial" w:cs="Arial"/>
          <w:sz w:val="22"/>
          <w:szCs w:val="22"/>
        </w:rPr>
        <w:t>) entered into a Proactive Compliance Deed (</w:t>
      </w:r>
      <w:r w:rsidRPr="00843CCE">
        <w:rPr>
          <w:rFonts w:eastAsia="Arial" w:cs="Arial"/>
          <w:b/>
          <w:sz w:val="22"/>
          <w:szCs w:val="22"/>
        </w:rPr>
        <w:t>the Deed</w:t>
      </w:r>
      <w:r w:rsidRPr="00843CCE">
        <w:rPr>
          <w:rFonts w:eastAsia="Arial" w:cs="Arial"/>
          <w:sz w:val="22"/>
          <w:szCs w:val="22"/>
        </w:rPr>
        <w:t xml:space="preserve">) with the Fair Work Ombudsman with a view to improving the compliance of its franchisees with Commonwealth workplace laws, in particular the </w:t>
      </w:r>
      <w:r w:rsidRPr="00843CCE">
        <w:rPr>
          <w:rFonts w:eastAsia="Arial" w:cs="Arial"/>
          <w:i/>
          <w:sz w:val="22"/>
          <w:szCs w:val="22"/>
        </w:rPr>
        <w:t>Fair Work Act 2009</w:t>
      </w:r>
      <w:r w:rsidRPr="00843CCE">
        <w:rPr>
          <w:rFonts w:eastAsia="Arial" w:cs="Arial"/>
          <w:sz w:val="22"/>
          <w:szCs w:val="22"/>
        </w:rPr>
        <w:t xml:space="preserve"> (</w:t>
      </w:r>
      <w:r w:rsidRPr="00843CCE">
        <w:rPr>
          <w:rFonts w:eastAsia="Arial" w:cs="Arial"/>
          <w:b/>
          <w:sz w:val="22"/>
          <w:szCs w:val="22"/>
        </w:rPr>
        <w:t>the Act</w:t>
      </w:r>
      <w:r w:rsidRPr="00843CCE">
        <w:rPr>
          <w:rFonts w:eastAsia="Arial" w:cs="Arial"/>
          <w:sz w:val="22"/>
          <w:szCs w:val="22"/>
        </w:rPr>
        <w:t xml:space="preserve">), and the </w:t>
      </w:r>
      <w:r w:rsidRPr="00843CCE">
        <w:rPr>
          <w:rFonts w:eastAsia="Arial" w:cs="Arial"/>
          <w:i/>
          <w:sz w:val="22"/>
          <w:szCs w:val="22"/>
        </w:rPr>
        <w:t>Red Rooster Agreement 2009</w:t>
      </w:r>
      <w:r w:rsidRPr="00843CCE">
        <w:rPr>
          <w:rFonts w:eastAsia="Arial" w:cs="Arial"/>
          <w:sz w:val="22"/>
          <w:szCs w:val="22"/>
        </w:rPr>
        <w:t xml:space="preserve"> (</w:t>
      </w:r>
      <w:r w:rsidRPr="00843CCE">
        <w:rPr>
          <w:rFonts w:eastAsia="Arial" w:cs="Arial"/>
          <w:b/>
          <w:sz w:val="22"/>
          <w:szCs w:val="22"/>
        </w:rPr>
        <w:t>2009 Agreement</w:t>
      </w:r>
      <w:r w:rsidRPr="00843CCE">
        <w:rPr>
          <w:rFonts w:eastAsia="Arial" w:cs="Arial"/>
          <w:sz w:val="22"/>
          <w:szCs w:val="22"/>
        </w:rPr>
        <w:t>).</w:t>
      </w:r>
    </w:p>
    <w:p w:rsidR="00601764" w:rsidRPr="00843CCE" w:rsidRDefault="00601764" w:rsidP="00843CCE">
      <w:pPr>
        <w:spacing w:after="120"/>
        <w:rPr>
          <w:rFonts w:eastAsia="Arial" w:cs="Arial"/>
          <w:sz w:val="22"/>
          <w:szCs w:val="22"/>
        </w:rPr>
      </w:pPr>
      <w:r w:rsidRPr="00843CCE">
        <w:rPr>
          <w:rFonts w:eastAsia="Arial" w:cs="Arial"/>
          <w:sz w:val="22"/>
          <w:szCs w:val="22"/>
        </w:rPr>
        <w:t>The Deed contained a number of proactive compliance activities to be undertaken by Red Rooster, including:</w:t>
      </w:r>
    </w:p>
    <w:p w:rsidR="00601764" w:rsidRPr="00843CCE" w:rsidRDefault="00601764" w:rsidP="00843CCE">
      <w:pPr>
        <w:numPr>
          <w:ilvl w:val="0"/>
          <w:numId w:val="51"/>
        </w:numPr>
        <w:spacing w:line="276" w:lineRule="auto"/>
        <w:ind w:left="709" w:hanging="360"/>
        <w:rPr>
          <w:rFonts w:eastAsia="Arial" w:cs="Arial"/>
          <w:color w:val="000000"/>
          <w:sz w:val="22"/>
        </w:rPr>
      </w:pPr>
      <w:r w:rsidRPr="00843CCE">
        <w:rPr>
          <w:rFonts w:eastAsia="Arial" w:cs="Arial"/>
          <w:color w:val="000000"/>
          <w:sz w:val="22"/>
          <w:szCs w:val="22"/>
        </w:rPr>
        <w:t>conducting a self-audit of the employees of franchisees covered by the 2009 Agreement</w:t>
      </w:r>
    </w:p>
    <w:p w:rsidR="00601764" w:rsidRPr="00843CCE" w:rsidRDefault="00601764" w:rsidP="00843CCE">
      <w:pPr>
        <w:numPr>
          <w:ilvl w:val="0"/>
          <w:numId w:val="51"/>
        </w:numPr>
        <w:spacing w:line="276" w:lineRule="auto"/>
        <w:ind w:left="709" w:hanging="360"/>
        <w:rPr>
          <w:rFonts w:eastAsia="Arial" w:cs="Arial"/>
          <w:color w:val="000000"/>
          <w:sz w:val="22"/>
        </w:rPr>
      </w:pPr>
      <w:r w:rsidRPr="00843CCE">
        <w:rPr>
          <w:rFonts w:eastAsia="Arial" w:cs="Arial"/>
          <w:color w:val="000000"/>
          <w:sz w:val="22"/>
          <w:szCs w:val="22"/>
        </w:rPr>
        <w:t xml:space="preserve">inviting employees to make enquiries about concerns regarding any wage or entitlement issues </w:t>
      </w:r>
    </w:p>
    <w:p w:rsidR="00601764" w:rsidRPr="00843CCE" w:rsidRDefault="00601764" w:rsidP="00843CCE">
      <w:pPr>
        <w:numPr>
          <w:ilvl w:val="0"/>
          <w:numId w:val="51"/>
        </w:numPr>
        <w:spacing w:line="276" w:lineRule="auto"/>
        <w:ind w:left="709" w:hanging="360"/>
        <w:rPr>
          <w:rFonts w:eastAsia="Arial" w:cs="Arial"/>
          <w:color w:val="000000"/>
          <w:sz w:val="22"/>
        </w:rPr>
      </w:pPr>
      <w:r w:rsidRPr="00843CCE">
        <w:rPr>
          <w:rFonts w:eastAsia="Arial" w:cs="Arial"/>
          <w:color w:val="000000"/>
          <w:sz w:val="22"/>
          <w:szCs w:val="22"/>
        </w:rPr>
        <w:t>providing Red Rooster the opportunity to resolve complaints against Red Rooster and its franchisees within 28 days of receipt of the complaint from the FWO, and</w:t>
      </w:r>
    </w:p>
    <w:p w:rsidR="00601764" w:rsidRPr="00843CCE" w:rsidRDefault="00F5067B" w:rsidP="00843CCE">
      <w:pPr>
        <w:numPr>
          <w:ilvl w:val="0"/>
          <w:numId w:val="51"/>
        </w:numPr>
        <w:spacing w:line="276" w:lineRule="auto"/>
        <w:ind w:left="709" w:hanging="360"/>
        <w:rPr>
          <w:rFonts w:eastAsia="Arial" w:cs="Arial"/>
          <w:color w:val="000000"/>
          <w:sz w:val="22"/>
          <w:szCs w:val="22"/>
        </w:rPr>
      </w:pPr>
      <w:proofErr w:type="gramStart"/>
      <w:r>
        <w:rPr>
          <w:rFonts w:eastAsia="Arial" w:cs="Arial"/>
          <w:color w:val="000000"/>
          <w:sz w:val="22"/>
          <w:szCs w:val="22"/>
        </w:rPr>
        <w:t>i</w:t>
      </w:r>
      <w:r w:rsidR="00601764" w:rsidRPr="00651BEB">
        <w:rPr>
          <w:rFonts w:eastAsia="Arial" w:cs="Arial"/>
          <w:color w:val="000000"/>
          <w:sz w:val="22"/>
          <w:szCs w:val="22"/>
        </w:rPr>
        <w:t>dentifying</w:t>
      </w:r>
      <w:proofErr w:type="gramEnd"/>
      <w:r w:rsidR="00601764" w:rsidRPr="00843CCE">
        <w:rPr>
          <w:rFonts w:eastAsia="Arial" w:cs="Arial"/>
          <w:color w:val="000000"/>
          <w:sz w:val="22"/>
          <w:szCs w:val="22"/>
        </w:rPr>
        <w:t xml:space="preserve"> improvements to systems and processes. </w:t>
      </w:r>
    </w:p>
    <w:p w:rsidR="00601764" w:rsidRPr="00843CCE" w:rsidRDefault="00601764" w:rsidP="00843CCE">
      <w:pPr>
        <w:spacing w:after="120"/>
        <w:rPr>
          <w:rFonts w:eastAsia="Arial" w:cs="Arial"/>
          <w:sz w:val="22"/>
          <w:szCs w:val="22"/>
        </w:rPr>
      </w:pPr>
      <w:r w:rsidRPr="00843CCE">
        <w:rPr>
          <w:rFonts w:eastAsia="Arial" w:cs="Arial"/>
          <w:sz w:val="22"/>
          <w:szCs w:val="22"/>
        </w:rPr>
        <w:t>The key results of the various compliance activities required by the Deed have been independently verified by a Certified Practicing Accountant and include:</w:t>
      </w:r>
    </w:p>
    <w:p w:rsidR="00601764" w:rsidRPr="00843CCE" w:rsidRDefault="00601764" w:rsidP="00843CCE">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3140 employees had their wages audited (</w:t>
      </w:r>
      <w:r w:rsidR="003E18D1">
        <w:rPr>
          <w:rFonts w:eastAsia="Arial" w:cs="Arial"/>
          <w:color w:val="000000"/>
          <w:sz w:val="22"/>
          <w:szCs w:val="22"/>
        </w:rPr>
        <w:t>83</w:t>
      </w:r>
      <w:r w:rsidRPr="00843CCE">
        <w:rPr>
          <w:rFonts w:eastAsia="Arial" w:cs="Arial"/>
          <w:color w:val="000000"/>
          <w:sz w:val="22"/>
          <w:szCs w:val="22"/>
        </w:rPr>
        <w:t xml:space="preserve"> Red Rooster franchise outlets)</w:t>
      </w:r>
    </w:p>
    <w:p w:rsidR="00601764" w:rsidRPr="00843CCE" w:rsidRDefault="00FD6830" w:rsidP="00843CCE">
      <w:pPr>
        <w:numPr>
          <w:ilvl w:val="0"/>
          <w:numId w:val="51"/>
        </w:numPr>
        <w:spacing w:line="276" w:lineRule="auto"/>
        <w:ind w:left="709" w:hanging="360"/>
        <w:rPr>
          <w:rFonts w:eastAsia="Arial" w:cs="Arial"/>
          <w:color w:val="000000"/>
          <w:sz w:val="22"/>
          <w:szCs w:val="22"/>
        </w:rPr>
      </w:pPr>
      <w:r>
        <w:rPr>
          <w:rFonts w:eastAsia="Arial" w:cs="Arial"/>
          <w:color w:val="000000"/>
          <w:sz w:val="22"/>
          <w:szCs w:val="22"/>
        </w:rPr>
        <w:t>1206</w:t>
      </w:r>
      <w:r w:rsidR="00601764" w:rsidRPr="00843CCE">
        <w:rPr>
          <w:rFonts w:eastAsia="Arial" w:cs="Arial"/>
          <w:color w:val="000000"/>
          <w:sz w:val="22"/>
          <w:szCs w:val="22"/>
        </w:rPr>
        <w:t xml:space="preserve"> current and former employees have been back paid </w:t>
      </w:r>
      <w:r>
        <w:rPr>
          <w:rFonts w:eastAsia="Arial" w:cs="Arial"/>
          <w:color w:val="000000"/>
          <w:sz w:val="22"/>
          <w:szCs w:val="22"/>
        </w:rPr>
        <w:t xml:space="preserve">in full, receiving </w:t>
      </w:r>
      <w:r w:rsidR="003E18D1">
        <w:rPr>
          <w:rFonts w:eastAsia="Arial" w:cs="Arial"/>
          <w:color w:val="000000"/>
          <w:sz w:val="22"/>
          <w:szCs w:val="22"/>
        </w:rPr>
        <w:t xml:space="preserve">a total of </w:t>
      </w:r>
      <w:r w:rsidR="00601764" w:rsidRPr="00843CCE">
        <w:rPr>
          <w:rFonts w:eastAsia="Arial" w:cs="Arial"/>
          <w:color w:val="000000"/>
          <w:sz w:val="22"/>
          <w:szCs w:val="22"/>
        </w:rPr>
        <w:t>$34</w:t>
      </w:r>
      <w:r w:rsidR="003E18D1">
        <w:rPr>
          <w:rFonts w:eastAsia="Arial" w:cs="Arial"/>
          <w:color w:val="000000"/>
          <w:sz w:val="22"/>
          <w:szCs w:val="22"/>
        </w:rPr>
        <w:t>6</w:t>
      </w:r>
      <w:r w:rsidR="00601764" w:rsidRPr="00843CCE">
        <w:rPr>
          <w:rFonts w:eastAsia="Arial" w:cs="Arial"/>
          <w:color w:val="000000"/>
          <w:sz w:val="22"/>
          <w:szCs w:val="22"/>
        </w:rPr>
        <w:t xml:space="preserve"> </w:t>
      </w:r>
      <w:r w:rsidR="003E18D1">
        <w:rPr>
          <w:rFonts w:eastAsia="Arial" w:cs="Arial"/>
          <w:color w:val="000000"/>
          <w:sz w:val="22"/>
          <w:szCs w:val="22"/>
        </w:rPr>
        <w:t>285</w:t>
      </w:r>
      <w:r w:rsidR="00601764" w:rsidRPr="00651BEB">
        <w:rPr>
          <w:rFonts w:eastAsia="Arial" w:cs="Arial"/>
          <w:color w:val="000000"/>
          <w:sz w:val="22"/>
          <w:szCs w:val="22"/>
        </w:rPr>
        <w:t xml:space="preserve"> </w:t>
      </w:r>
      <w:r w:rsidR="00601764" w:rsidRPr="00843CCE">
        <w:rPr>
          <w:rFonts w:eastAsia="Arial" w:cs="Arial"/>
          <w:color w:val="000000"/>
          <w:sz w:val="22"/>
          <w:szCs w:val="22"/>
        </w:rPr>
        <w:t xml:space="preserve">as at </w:t>
      </w:r>
      <w:r w:rsidR="007D7560">
        <w:rPr>
          <w:rFonts w:eastAsia="Arial" w:cs="Arial"/>
          <w:color w:val="000000"/>
          <w:sz w:val="22"/>
          <w:szCs w:val="22"/>
        </w:rPr>
        <w:t xml:space="preserve">19 </w:t>
      </w:r>
      <w:r>
        <w:rPr>
          <w:rFonts w:eastAsia="Arial" w:cs="Arial"/>
          <w:color w:val="000000"/>
          <w:sz w:val="22"/>
          <w:szCs w:val="22"/>
        </w:rPr>
        <w:t>June</w:t>
      </w:r>
      <w:r w:rsidR="00601764" w:rsidRPr="00843CCE">
        <w:rPr>
          <w:rFonts w:eastAsia="Arial" w:cs="Arial"/>
          <w:color w:val="000000"/>
          <w:sz w:val="22"/>
          <w:szCs w:val="22"/>
        </w:rPr>
        <w:t xml:space="preserve"> 2014 </w:t>
      </w:r>
    </w:p>
    <w:p w:rsidR="00601764" w:rsidRPr="00843CCE" w:rsidRDefault="00601764" w:rsidP="00843CCE">
      <w:pPr>
        <w:numPr>
          <w:ilvl w:val="0"/>
          <w:numId w:val="51"/>
        </w:numPr>
        <w:spacing w:line="276" w:lineRule="auto"/>
        <w:ind w:left="709" w:hanging="360"/>
        <w:rPr>
          <w:rFonts w:eastAsia="Arial" w:cs="Arial"/>
          <w:color w:val="000000"/>
          <w:sz w:val="22"/>
          <w:szCs w:val="22"/>
        </w:rPr>
      </w:pPr>
      <w:r w:rsidRPr="00843CCE">
        <w:rPr>
          <w:rFonts w:eastAsia="Arial" w:cs="Arial"/>
          <w:color w:val="000000"/>
          <w:sz w:val="22"/>
          <w:szCs w:val="22"/>
        </w:rPr>
        <w:t>23 Red Rooster outlets have gone into liquidation and therefore no</w:t>
      </w:r>
      <w:r w:rsidR="00766C92">
        <w:rPr>
          <w:rFonts w:eastAsia="Arial" w:cs="Arial"/>
          <w:color w:val="000000"/>
          <w:sz w:val="22"/>
          <w:szCs w:val="22"/>
        </w:rPr>
        <w:t xml:space="preserve"> back payments can be recovere</w:t>
      </w:r>
      <w:r w:rsidRPr="00843CCE">
        <w:rPr>
          <w:rFonts w:eastAsia="Arial" w:cs="Arial"/>
          <w:color w:val="000000"/>
          <w:sz w:val="22"/>
          <w:szCs w:val="22"/>
        </w:rPr>
        <w:t xml:space="preserve">d in relation to these </w:t>
      </w:r>
      <w:r w:rsidR="00766C92">
        <w:rPr>
          <w:rFonts w:eastAsia="Arial" w:cs="Arial"/>
          <w:color w:val="000000"/>
          <w:sz w:val="22"/>
          <w:szCs w:val="22"/>
        </w:rPr>
        <w:t>outlet</w:t>
      </w:r>
      <w:r w:rsidRPr="00843CCE">
        <w:rPr>
          <w:rFonts w:eastAsia="Arial" w:cs="Arial"/>
          <w:color w:val="000000"/>
          <w:sz w:val="22"/>
          <w:szCs w:val="22"/>
        </w:rPr>
        <w:t>s</w:t>
      </w:r>
    </w:p>
    <w:p w:rsidR="00601764" w:rsidRPr="00843CCE" w:rsidRDefault="00F5067B" w:rsidP="00843CCE">
      <w:pPr>
        <w:numPr>
          <w:ilvl w:val="0"/>
          <w:numId w:val="51"/>
        </w:numPr>
        <w:spacing w:line="276" w:lineRule="auto"/>
        <w:ind w:left="709" w:hanging="360"/>
        <w:rPr>
          <w:rFonts w:eastAsia="Arial" w:cs="Arial"/>
          <w:color w:val="000000"/>
          <w:sz w:val="22"/>
          <w:szCs w:val="22"/>
        </w:rPr>
      </w:pPr>
      <w:proofErr w:type="gramStart"/>
      <w:r>
        <w:rPr>
          <w:rFonts w:eastAsia="Arial" w:cs="Arial"/>
          <w:color w:val="000000"/>
          <w:sz w:val="22"/>
          <w:szCs w:val="22"/>
        </w:rPr>
        <w:t>p</w:t>
      </w:r>
      <w:r w:rsidR="00601764" w:rsidRPr="00651BEB">
        <w:rPr>
          <w:rFonts w:eastAsia="Arial" w:cs="Arial"/>
          <w:color w:val="000000"/>
          <w:sz w:val="22"/>
          <w:szCs w:val="22"/>
        </w:rPr>
        <w:t>rocesses</w:t>
      </w:r>
      <w:proofErr w:type="gramEnd"/>
      <w:r w:rsidR="00601764" w:rsidRPr="00843CCE">
        <w:rPr>
          <w:rFonts w:eastAsia="Arial" w:cs="Arial"/>
          <w:color w:val="000000"/>
          <w:sz w:val="22"/>
          <w:szCs w:val="22"/>
        </w:rPr>
        <w:t xml:space="preserve"> have been implemented to improve workplace relations compliance.</w:t>
      </w:r>
    </w:p>
    <w:p w:rsidR="00601764" w:rsidRPr="00651BEB" w:rsidRDefault="00601764" w:rsidP="0021407E">
      <w:pPr>
        <w:spacing w:after="120"/>
        <w:rPr>
          <w:rFonts w:eastAsia="Arial" w:cs="Arial"/>
          <w:color w:val="000000"/>
          <w:sz w:val="22"/>
          <w:szCs w:val="22"/>
        </w:rPr>
      </w:pPr>
      <w:r w:rsidRPr="00843CCE">
        <w:rPr>
          <w:rFonts w:eastAsia="Arial" w:cs="Arial"/>
          <w:color w:val="000000"/>
          <w:sz w:val="22"/>
          <w:szCs w:val="22"/>
        </w:rPr>
        <w:t xml:space="preserve">Following the completion of these activities, Red Rooster and the Fair Work Ombudsman have continued to work together to resolve issues raised by employees. </w:t>
      </w:r>
    </w:p>
    <w:p w:rsidR="00601764" w:rsidRPr="00651BEB" w:rsidRDefault="00601764" w:rsidP="00651BEB">
      <w:pPr>
        <w:pStyle w:val="Heading1"/>
        <w:spacing w:before="360" w:after="240"/>
        <w:rPr>
          <w:rFonts w:eastAsia="Arial"/>
          <w:color w:val="548DD4"/>
        </w:rPr>
      </w:pPr>
      <w:bookmarkStart w:id="1" w:name="_Toc386631650"/>
      <w:r w:rsidRPr="00651BEB">
        <w:rPr>
          <w:rFonts w:eastAsia="Arial"/>
          <w:color w:val="548DD4"/>
        </w:rPr>
        <w:t>Background</w:t>
      </w:r>
      <w:bookmarkEnd w:id="1"/>
    </w:p>
    <w:p w:rsidR="00601764" w:rsidRPr="00651BEB" w:rsidRDefault="00601764" w:rsidP="002C00B9">
      <w:pPr>
        <w:pStyle w:val="Heading2"/>
        <w:spacing w:before="240" w:after="200"/>
        <w:rPr>
          <w:rFonts w:eastAsia="Arial"/>
          <w:color w:val="548DD4"/>
        </w:rPr>
      </w:pPr>
      <w:bookmarkStart w:id="2" w:name="_Toc386631651"/>
      <w:r w:rsidRPr="00651BEB">
        <w:rPr>
          <w:rFonts w:eastAsia="Arial"/>
          <w:color w:val="548DD4"/>
        </w:rPr>
        <w:t>Red Rooster Pty Ltd</w:t>
      </w:r>
      <w:bookmarkEnd w:id="2"/>
    </w:p>
    <w:p w:rsidR="00601764" w:rsidRPr="00F5067B" w:rsidRDefault="00601764" w:rsidP="002C00B9">
      <w:pPr>
        <w:rPr>
          <w:rFonts w:eastAsia="Arial" w:cs="Arial"/>
          <w:sz w:val="22"/>
        </w:rPr>
      </w:pPr>
      <w:r w:rsidRPr="00F5067B">
        <w:rPr>
          <w:rFonts w:eastAsia="Arial" w:cs="Arial"/>
          <w:sz w:val="22"/>
        </w:rPr>
        <w:t>Red Rooster is an Australian restaurant business</w:t>
      </w:r>
      <w:r w:rsidR="00C64C1B">
        <w:rPr>
          <w:rFonts w:eastAsia="Arial" w:cs="Arial"/>
          <w:sz w:val="22"/>
        </w:rPr>
        <w:t xml:space="preserve">, with outlets </w:t>
      </w:r>
      <w:r w:rsidR="003B48F3" w:rsidRPr="00F5067B">
        <w:rPr>
          <w:rFonts w:eastAsia="Arial" w:cs="Arial"/>
          <w:sz w:val="22"/>
        </w:rPr>
        <w:t>in every Australian state and territory, except Tasmania</w:t>
      </w:r>
      <w:r w:rsidRPr="00F5067B">
        <w:rPr>
          <w:rFonts w:eastAsia="Arial" w:cs="Arial"/>
          <w:sz w:val="22"/>
        </w:rPr>
        <w:t xml:space="preserve">. The company is Australian owned by Quick Service Restaurant Holdings Pty Ltd. </w:t>
      </w:r>
    </w:p>
    <w:p w:rsidR="00601764" w:rsidRPr="00F5067B" w:rsidRDefault="00C64C1B" w:rsidP="00F5067B">
      <w:pPr>
        <w:spacing w:after="120"/>
        <w:rPr>
          <w:rFonts w:eastAsia="Arial" w:cs="Arial"/>
          <w:sz w:val="22"/>
        </w:rPr>
      </w:pPr>
      <w:r>
        <w:rPr>
          <w:rFonts w:eastAsia="Arial" w:cs="Arial"/>
          <w:sz w:val="22"/>
        </w:rPr>
        <w:t xml:space="preserve">There are currently over 360 </w:t>
      </w:r>
      <w:r w:rsidR="003B48F3">
        <w:rPr>
          <w:rFonts w:eastAsia="Arial" w:cs="Arial"/>
          <w:sz w:val="22"/>
        </w:rPr>
        <w:t xml:space="preserve">Red Rooster </w:t>
      </w:r>
      <w:r>
        <w:rPr>
          <w:rFonts w:eastAsia="Arial" w:cs="Arial"/>
          <w:sz w:val="22"/>
        </w:rPr>
        <w:t>outlets</w:t>
      </w:r>
      <w:r w:rsidR="003B48F3">
        <w:rPr>
          <w:rFonts w:eastAsia="Arial" w:cs="Arial"/>
          <w:sz w:val="22"/>
        </w:rPr>
        <w:t>, employing over 7000 employees.</w:t>
      </w:r>
      <w:r>
        <w:rPr>
          <w:rFonts w:eastAsia="Arial" w:cs="Arial"/>
          <w:sz w:val="22"/>
        </w:rPr>
        <w:t xml:space="preserve"> </w:t>
      </w:r>
      <w:r w:rsidR="00601764" w:rsidRPr="00F5067B">
        <w:rPr>
          <w:rFonts w:eastAsia="Arial" w:cs="Arial"/>
          <w:sz w:val="22"/>
        </w:rPr>
        <w:t xml:space="preserve">Some </w:t>
      </w:r>
      <w:r w:rsidR="003B48F3">
        <w:rPr>
          <w:rFonts w:eastAsia="Arial" w:cs="Arial"/>
          <w:sz w:val="22"/>
        </w:rPr>
        <w:t xml:space="preserve">of these </w:t>
      </w:r>
      <w:r w:rsidR="00766C92">
        <w:rPr>
          <w:rFonts w:eastAsia="Arial" w:cs="Arial"/>
          <w:sz w:val="22"/>
        </w:rPr>
        <w:t>outlet</w:t>
      </w:r>
      <w:r w:rsidR="00601764" w:rsidRPr="00F5067B">
        <w:rPr>
          <w:rFonts w:eastAsia="Arial" w:cs="Arial"/>
          <w:sz w:val="22"/>
        </w:rPr>
        <w:t xml:space="preserve">s are operated by Red Rooster, but the majority of </w:t>
      </w:r>
      <w:r w:rsidR="003B48F3">
        <w:rPr>
          <w:rFonts w:eastAsia="Arial" w:cs="Arial"/>
          <w:sz w:val="22"/>
        </w:rPr>
        <w:t>Red Rooster stores</w:t>
      </w:r>
      <w:r w:rsidR="003B48F3" w:rsidRPr="00F5067B">
        <w:rPr>
          <w:rFonts w:eastAsia="Arial" w:cs="Arial"/>
          <w:sz w:val="22"/>
        </w:rPr>
        <w:t xml:space="preserve"> </w:t>
      </w:r>
      <w:r w:rsidR="00601764" w:rsidRPr="00F5067B">
        <w:rPr>
          <w:rFonts w:eastAsia="Arial" w:cs="Arial"/>
          <w:sz w:val="22"/>
        </w:rPr>
        <w:t xml:space="preserve">are operated by franchisees that are granted the right to operate subject to a standard franchise agreement. </w:t>
      </w:r>
    </w:p>
    <w:p w:rsidR="00601764" w:rsidRPr="00651BEB" w:rsidRDefault="00651BEB" w:rsidP="00F5067B">
      <w:pPr>
        <w:pStyle w:val="Heading2"/>
        <w:spacing w:before="360" w:after="200"/>
        <w:rPr>
          <w:rFonts w:eastAsia="Arial"/>
          <w:color w:val="548DD4"/>
        </w:rPr>
      </w:pPr>
      <w:bookmarkStart w:id="3" w:name="_Toc386631235"/>
      <w:bookmarkStart w:id="4" w:name="_Toc386631652"/>
      <w:bookmarkStart w:id="5" w:name="_Toc386631653"/>
      <w:bookmarkEnd w:id="3"/>
      <w:bookmarkEnd w:id="4"/>
      <w:r w:rsidRPr="00651BEB">
        <w:rPr>
          <w:rFonts w:eastAsia="Arial"/>
          <w:color w:val="548DD4"/>
        </w:rPr>
        <w:t>B</w:t>
      </w:r>
      <w:r w:rsidR="00601764" w:rsidRPr="00651BEB">
        <w:rPr>
          <w:rFonts w:eastAsia="Arial"/>
          <w:color w:val="548DD4"/>
        </w:rPr>
        <w:t>ackground to the Proactive Compliance Deed</w:t>
      </w:r>
      <w:bookmarkEnd w:id="5"/>
    </w:p>
    <w:p w:rsidR="00601764" w:rsidRPr="00F5067B" w:rsidRDefault="00601764" w:rsidP="00F5067B">
      <w:pPr>
        <w:spacing w:before="0" w:after="120"/>
        <w:rPr>
          <w:rFonts w:eastAsia="Arial" w:cs="Arial"/>
          <w:sz w:val="22"/>
          <w:szCs w:val="22"/>
        </w:rPr>
      </w:pPr>
      <w:r w:rsidRPr="00F5067B">
        <w:rPr>
          <w:rFonts w:eastAsia="Arial" w:cs="Arial"/>
          <w:sz w:val="22"/>
          <w:szCs w:val="22"/>
        </w:rPr>
        <w:t>By agreeing to enter into the Deed, the Fair Work Ombudsman recognises the commitment by Red Rooster and its franchisees to ensuring fair Australian workplaces. The Deed established a framework within which Red Rooster and the Fair Work Ombudsman could work together to rectify underpayments and ensure ongoing compliance among franchisees. It is recognised that many of the employees of these franchisees are young workers with little or no previous work experience and limited knowledge of their entitlements.</w:t>
      </w:r>
    </w:p>
    <w:p w:rsidR="00601764" w:rsidRPr="00F5067B" w:rsidRDefault="00601764" w:rsidP="00F5067B">
      <w:pPr>
        <w:spacing w:before="0" w:after="120"/>
        <w:rPr>
          <w:rFonts w:eastAsia="Arial" w:cs="Arial"/>
          <w:sz w:val="22"/>
          <w:szCs w:val="22"/>
        </w:rPr>
      </w:pPr>
      <w:r w:rsidRPr="00F5067B">
        <w:rPr>
          <w:rFonts w:eastAsia="Arial" w:cs="Arial"/>
          <w:sz w:val="22"/>
          <w:szCs w:val="22"/>
        </w:rPr>
        <w:t xml:space="preserve">The Deed was proposed by the Fair Work Ombudsman to Red Rooster after it was identified that there was a problem with the interpretation of the 2009 Agreement. As outlined below, this resulted in some employees being underpaid. </w:t>
      </w:r>
    </w:p>
    <w:p w:rsidR="00601764" w:rsidRPr="00F5067B" w:rsidRDefault="00601764" w:rsidP="00F5067B">
      <w:pPr>
        <w:spacing w:before="0" w:after="120"/>
        <w:rPr>
          <w:rFonts w:eastAsia="Arial" w:cs="Arial"/>
          <w:sz w:val="22"/>
          <w:szCs w:val="22"/>
        </w:rPr>
      </w:pPr>
      <w:r w:rsidRPr="00F5067B">
        <w:rPr>
          <w:rFonts w:eastAsia="Arial" w:cs="Arial"/>
          <w:sz w:val="22"/>
          <w:szCs w:val="22"/>
        </w:rPr>
        <w:t xml:space="preserve">As a result of complaints lodged by employees with the Fair Work Ombudsman during 2011, it became evident that some of the base rates of pay under the 2009 Agreement were less than the base rates contained in the </w:t>
      </w:r>
      <w:r w:rsidRPr="002C00B9">
        <w:rPr>
          <w:rFonts w:eastAsia="Arial" w:cs="Arial"/>
          <w:i/>
          <w:sz w:val="22"/>
          <w:szCs w:val="22"/>
        </w:rPr>
        <w:t>Fast Food Industry Award 2010</w:t>
      </w:r>
      <w:r w:rsidRPr="00F5067B">
        <w:rPr>
          <w:rFonts w:eastAsia="Arial" w:cs="Arial"/>
          <w:sz w:val="22"/>
          <w:szCs w:val="22"/>
        </w:rPr>
        <w:t>, particularly for employees who had been employed for less than six months.</w:t>
      </w:r>
      <w:r w:rsidRPr="003B48F3">
        <w:rPr>
          <w:sz w:val="22"/>
          <w:szCs w:val="22"/>
          <w:vertAlign w:val="superscript"/>
        </w:rPr>
        <w:footnoteReference w:id="1"/>
      </w:r>
    </w:p>
    <w:p w:rsidR="00601764" w:rsidRPr="00F5067B" w:rsidRDefault="00601764" w:rsidP="00F5067B">
      <w:pPr>
        <w:spacing w:before="0" w:after="120"/>
        <w:rPr>
          <w:rFonts w:eastAsia="Arial" w:cs="Arial"/>
          <w:sz w:val="22"/>
          <w:szCs w:val="22"/>
        </w:rPr>
      </w:pPr>
      <w:r w:rsidRPr="00F5067B">
        <w:rPr>
          <w:rFonts w:eastAsia="Arial" w:cs="Arial"/>
          <w:sz w:val="22"/>
          <w:szCs w:val="22"/>
        </w:rPr>
        <w:t>Under the Act, enterprise agreements generally apply to the exclusion of award conditions, however employees must be paid a base rate of pay not less than the rate from the modern award that would otherwise apply to them, regardless of the rate in the enterprise agreement.</w:t>
      </w:r>
    </w:p>
    <w:p w:rsidR="00601764" w:rsidRPr="00F5067B" w:rsidRDefault="00601764" w:rsidP="00F5067B">
      <w:pPr>
        <w:rPr>
          <w:rFonts w:eastAsia="Arial" w:cs="Arial"/>
          <w:sz w:val="22"/>
          <w:szCs w:val="22"/>
        </w:rPr>
      </w:pPr>
      <w:r w:rsidRPr="00F5067B">
        <w:rPr>
          <w:rFonts w:eastAsia="Arial" w:cs="Arial"/>
          <w:sz w:val="22"/>
          <w:szCs w:val="22"/>
        </w:rPr>
        <w:t xml:space="preserve">Potential underpayments were </w:t>
      </w:r>
      <w:r w:rsidR="003E18D1">
        <w:rPr>
          <w:rFonts w:eastAsia="Arial" w:cs="Arial"/>
          <w:sz w:val="22"/>
          <w:szCs w:val="22"/>
        </w:rPr>
        <w:t xml:space="preserve">originally </w:t>
      </w:r>
      <w:r w:rsidRPr="00F5067B">
        <w:rPr>
          <w:rFonts w:eastAsia="Arial" w:cs="Arial"/>
          <w:sz w:val="22"/>
          <w:szCs w:val="22"/>
        </w:rPr>
        <w:t xml:space="preserve">identified by Red Rooster at 106 </w:t>
      </w:r>
      <w:r w:rsidR="00766C92">
        <w:rPr>
          <w:rFonts w:eastAsia="Arial" w:cs="Arial"/>
          <w:sz w:val="22"/>
          <w:szCs w:val="22"/>
        </w:rPr>
        <w:t>outlet</w:t>
      </w:r>
      <w:r w:rsidRPr="00F5067B">
        <w:rPr>
          <w:rFonts w:eastAsia="Arial" w:cs="Arial"/>
          <w:sz w:val="22"/>
          <w:szCs w:val="22"/>
        </w:rPr>
        <w:t>s</w:t>
      </w:r>
      <w:r w:rsidR="003E18D1">
        <w:rPr>
          <w:rFonts w:eastAsia="Arial" w:cs="Arial"/>
          <w:sz w:val="22"/>
          <w:szCs w:val="22"/>
        </w:rPr>
        <w:t>, including 23 owned by companies that have since gone into liquidation</w:t>
      </w:r>
      <w:r w:rsidRPr="00F5067B">
        <w:rPr>
          <w:rFonts w:eastAsia="Arial" w:cs="Arial"/>
          <w:sz w:val="22"/>
          <w:szCs w:val="22"/>
        </w:rPr>
        <w:t xml:space="preserve">. These do not include </w:t>
      </w:r>
      <w:r w:rsidR="00766C92">
        <w:rPr>
          <w:rFonts w:eastAsia="Arial" w:cs="Arial"/>
          <w:sz w:val="22"/>
          <w:szCs w:val="22"/>
        </w:rPr>
        <w:t>outlet</w:t>
      </w:r>
      <w:r w:rsidRPr="00F5067B">
        <w:rPr>
          <w:rFonts w:eastAsia="Arial" w:cs="Arial"/>
          <w:sz w:val="22"/>
          <w:szCs w:val="22"/>
        </w:rPr>
        <w:t>s owned by Red Rooster Foods Pty Ltd and those franchisees who are</w:t>
      </w:r>
      <w:r w:rsidRPr="00651BEB">
        <w:rPr>
          <w:rFonts w:eastAsia="Arial" w:cs="Arial"/>
          <w:sz w:val="22"/>
          <w:szCs w:val="22"/>
        </w:rPr>
        <w:t xml:space="preserve"> </w:t>
      </w:r>
      <w:r w:rsidRPr="00F5067B">
        <w:rPr>
          <w:rFonts w:eastAsia="Arial" w:cs="Arial"/>
          <w:sz w:val="22"/>
          <w:szCs w:val="22"/>
        </w:rPr>
        <w:t xml:space="preserve">respondent to the </w:t>
      </w:r>
      <w:r w:rsidRPr="00F5067B">
        <w:rPr>
          <w:rFonts w:eastAsia="Arial" w:cs="Arial"/>
          <w:i/>
          <w:sz w:val="22"/>
          <w:szCs w:val="22"/>
        </w:rPr>
        <w:t xml:space="preserve">Shop Distributive and Allied Employees’ Association – Red Rooster Award 2002 </w:t>
      </w:r>
      <w:r w:rsidRPr="00F5067B">
        <w:rPr>
          <w:rFonts w:eastAsia="Arial" w:cs="Arial"/>
          <w:sz w:val="22"/>
          <w:szCs w:val="22"/>
        </w:rPr>
        <w:t>(</w:t>
      </w:r>
      <w:r w:rsidRPr="00F5067B">
        <w:rPr>
          <w:rFonts w:eastAsia="Arial" w:cs="Arial"/>
          <w:b/>
          <w:sz w:val="22"/>
          <w:szCs w:val="22"/>
        </w:rPr>
        <w:t>Red Rooster Award</w:t>
      </w:r>
      <w:r w:rsidRPr="00F5067B">
        <w:rPr>
          <w:rFonts w:eastAsia="Arial" w:cs="Arial"/>
          <w:sz w:val="22"/>
          <w:szCs w:val="22"/>
        </w:rPr>
        <w:t>). The reason for this is that due to the operation of the Red Rooster Award, these businesses were not required to pay modern award rates until after 31 December 2013.</w:t>
      </w:r>
      <w:r w:rsidRPr="00F5067B">
        <w:rPr>
          <w:rStyle w:val="FootnoteReference"/>
          <w:rFonts w:eastAsia="Arial" w:cs="Arial"/>
          <w:sz w:val="22"/>
          <w:szCs w:val="22"/>
        </w:rPr>
        <w:footnoteReference w:id="2"/>
      </w:r>
      <w:r w:rsidRPr="00F5067B">
        <w:rPr>
          <w:rFonts w:eastAsia="Arial" w:cs="Arial"/>
          <w:sz w:val="22"/>
          <w:szCs w:val="22"/>
        </w:rPr>
        <w:t xml:space="preserve"> </w:t>
      </w:r>
    </w:p>
    <w:p w:rsidR="00601764" w:rsidRPr="00F5067B" w:rsidRDefault="00601764" w:rsidP="00F5067B">
      <w:pPr>
        <w:rPr>
          <w:rFonts w:eastAsia="Arial" w:cs="Arial"/>
          <w:sz w:val="22"/>
          <w:szCs w:val="22"/>
        </w:rPr>
      </w:pPr>
      <w:r w:rsidRPr="00F5067B">
        <w:rPr>
          <w:rFonts w:cs="Arial"/>
          <w:sz w:val="22"/>
          <w:szCs w:val="22"/>
        </w:rPr>
        <w:t xml:space="preserve">The </w:t>
      </w:r>
      <w:r w:rsidRPr="00F5067B">
        <w:rPr>
          <w:rFonts w:eastAsia="Arial" w:cs="Arial"/>
          <w:sz w:val="22"/>
          <w:szCs w:val="22"/>
        </w:rPr>
        <w:t xml:space="preserve">2009 Agreement </w:t>
      </w:r>
      <w:r w:rsidR="002C00B9">
        <w:rPr>
          <w:rFonts w:eastAsia="Arial" w:cs="Arial"/>
          <w:sz w:val="22"/>
          <w:szCs w:val="22"/>
        </w:rPr>
        <w:t>was</w:t>
      </w:r>
      <w:r w:rsidRPr="00F5067B">
        <w:rPr>
          <w:rFonts w:eastAsia="Arial" w:cs="Arial"/>
          <w:sz w:val="22"/>
          <w:szCs w:val="22"/>
        </w:rPr>
        <w:t xml:space="preserve"> negotiated by Red Rooster with the Shop, Distributive and Allied Employees’ Association on behalf of the majority of franchisees. Not all franchisees are covered by this agreement</w:t>
      </w:r>
      <w:r w:rsidR="002C00B9">
        <w:rPr>
          <w:rFonts w:eastAsia="Arial" w:cs="Arial"/>
          <w:sz w:val="22"/>
          <w:szCs w:val="22"/>
        </w:rPr>
        <w:t>, which took effect on 16 March 2010</w:t>
      </w:r>
      <w:r w:rsidRPr="00F5067B">
        <w:rPr>
          <w:rFonts w:eastAsia="Arial" w:cs="Arial"/>
          <w:sz w:val="22"/>
          <w:szCs w:val="22"/>
        </w:rPr>
        <w:t>.</w:t>
      </w:r>
      <w:r w:rsidR="002C00B9">
        <w:rPr>
          <w:rFonts w:eastAsia="Arial" w:cs="Arial"/>
          <w:sz w:val="22"/>
          <w:szCs w:val="22"/>
        </w:rPr>
        <w:t xml:space="preserve"> </w:t>
      </w:r>
      <w:r w:rsidR="002C00B9" w:rsidRPr="00F5067B">
        <w:rPr>
          <w:rFonts w:cs="Arial"/>
          <w:sz w:val="22"/>
          <w:szCs w:val="22"/>
        </w:rPr>
        <w:t xml:space="preserve">Prior to this date the applicable agreement for many franchisees was the </w:t>
      </w:r>
      <w:r w:rsidR="002C00B9" w:rsidRPr="00F5067B">
        <w:rPr>
          <w:rFonts w:cs="Arial"/>
          <w:i/>
          <w:sz w:val="22"/>
          <w:szCs w:val="22"/>
        </w:rPr>
        <w:t>Red Rooster Agreement 2003</w:t>
      </w:r>
      <w:r w:rsidR="002C00B9" w:rsidRPr="00F5067B">
        <w:rPr>
          <w:rFonts w:cs="Arial"/>
          <w:sz w:val="22"/>
          <w:szCs w:val="22"/>
        </w:rPr>
        <w:t>.</w:t>
      </w:r>
      <w:r w:rsidR="002C00B9" w:rsidRPr="00F5067B">
        <w:rPr>
          <w:rStyle w:val="FootnoteReference"/>
          <w:rFonts w:cs="Arial"/>
          <w:sz w:val="22"/>
          <w:szCs w:val="22"/>
        </w:rPr>
        <w:footnoteReference w:id="3"/>
      </w:r>
      <w:r w:rsidR="002C00B9" w:rsidRPr="00F5067B">
        <w:rPr>
          <w:rFonts w:cs="Arial"/>
          <w:sz w:val="22"/>
          <w:szCs w:val="22"/>
        </w:rPr>
        <w:t xml:space="preserve">  </w:t>
      </w:r>
    </w:p>
    <w:p w:rsidR="00601764" w:rsidRPr="00F5067B" w:rsidRDefault="00601764" w:rsidP="00601764">
      <w:pPr>
        <w:rPr>
          <w:rFonts w:eastAsia="Arial" w:cs="Arial"/>
          <w:b/>
          <w:color w:val="548DD4"/>
          <w:sz w:val="22"/>
          <w:szCs w:val="22"/>
        </w:rPr>
      </w:pPr>
      <w:r w:rsidRPr="00F5067B">
        <w:rPr>
          <w:rFonts w:eastAsia="Arial" w:cs="Arial"/>
          <w:sz w:val="22"/>
          <w:szCs w:val="22"/>
        </w:rPr>
        <w:t xml:space="preserve">The Fair Work Ombudsman acknowledges that </w:t>
      </w:r>
      <w:r w:rsidR="003E65AA">
        <w:rPr>
          <w:rFonts w:eastAsia="Arial" w:cs="Arial"/>
          <w:sz w:val="22"/>
          <w:szCs w:val="22"/>
        </w:rPr>
        <w:t xml:space="preserve">where underpayments have occurred due to modern award rates not being met, these </w:t>
      </w:r>
      <w:r w:rsidRPr="00F5067B">
        <w:rPr>
          <w:rFonts w:eastAsia="Arial" w:cs="Arial"/>
          <w:sz w:val="22"/>
          <w:szCs w:val="22"/>
        </w:rPr>
        <w:t>appear to be inadvertent contraventions of Red Rooster franchisees’ obligations under the Act.</w:t>
      </w:r>
    </w:p>
    <w:p w:rsidR="00601764" w:rsidRPr="00651BEB" w:rsidRDefault="00601764" w:rsidP="00F5067B">
      <w:pPr>
        <w:pStyle w:val="Heading1"/>
        <w:spacing w:before="360" w:after="240"/>
        <w:rPr>
          <w:rFonts w:eastAsia="Arial"/>
          <w:color w:val="548DD4"/>
        </w:rPr>
      </w:pPr>
      <w:bookmarkStart w:id="6" w:name="_Toc386631654"/>
      <w:r w:rsidRPr="00651BEB">
        <w:rPr>
          <w:rFonts w:eastAsia="Arial"/>
          <w:color w:val="548DD4"/>
        </w:rPr>
        <w:t>Proactive Compliance Deed objectives and scope</w:t>
      </w:r>
      <w:bookmarkEnd w:id="6"/>
    </w:p>
    <w:p w:rsidR="00601764" w:rsidRPr="00F5067B" w:rsidRDefault="00601764" w:rsidP="00F5067B">
      <w:pPr>
        <w:rPr>
          <w:rFonts w:eastAsia="Arial" w:cs="Arial"/>
          <w:sz w:val="22"/>
          <w:szCs w:val="22"/>
        </w:rPr>
      </w:pPr>
      <w:r w:rsidRPr="00F5067B">
        <w:rPr>
          <w:rFonts w:eastAsia="Arial" w:cs="Arial"/>
          <w:sz w:val="22"/>
          <w:szCs w:val="22"/>
        </w:rPr>
        <w:t xml:space="preserve">A central objective of the Deed was to provide an opportunity for Red Rooster to work closely with the Fair Work Ombudsman and demonstrate its commitment to </w:t>
      </w:r>
      <w:r w:rsidRPr="00F5067B">
        <w:rPr>
          <w:rFonts w:cs="Arial"/>
          <w:sz w:val="22"/>
          <w:szCs w:val="22"/>
        </w:rPr>
        <w:t>achieving fair Australian workplaces by ensuring ongoing compliance with relevant Commonwealth workplace laws.</w:t>
      </w:r>
    </w:p>
    <w:p w:rsidR="00601764" w:rsidRPr="00F5067B" w:rsidRDefault="00601764" w:rsidP="00F5067B">
      <w:pPr>
        <w:spacing w:after="120"/>
        <w:rPr>
          <w:rFonts w:eastAsia="Arial" w:cs="Arial"/>
          <w:sz w:val="22"/>
          <w:szCs w:val="22"/>
        </w:rPr>
      </w:pPr>
      <w:r w:rsidRPr="00F5067B">
        <w:rPr>
          <w:rFonts w:eastAsia="Arial" w:cs="Arial"/>
          <w:sz w:val="22"/>
          <w:szCs w:val="22"/>
        </w:rPr>
        <w:t xml:space="preserve">This objective has been achieved through Red Rooster conducting a range of activities, involving franchisees, </w:t>
      </w:r>
      <w:r w:rsidR="002C00B9">
        <w:rPr>
          <w:rFonts w:eastAsia="Arial" w:cs="Arial"/>
          <w:sz w:val="22"/>
          <w:szCs w:val="22"/>
        </w:rPr>
        <w:t xml:space="preserve">as </w:t>
      </w:r>
      <w:r w:rsidRPr="00F5067B">
        <w:rPr>
          <w:rFonts w:eastAsia="Arial" w:cs="Arial"/>
          <w:sz w:val="22"/>
          <w:szCs w:val="22"/>
        </w:rPr>
        <w:t>detailed in the Deed. This included:</w:t>
      </w:r>
    </w:p>
    <w:p w:rsidR="00601764" w:rsidRPr="00F5067B" w:rsidRDefault="00601764" w:rsidP="00F5067B">
      <w:pPr>
        <w:numPr>
          <w:ilvl w:val="0"/>
          <w:numId w:val="51"/>
        </w:numPr>
        <w:spacing w:line="276" w:lineRule="auto"/>
        <w:ind w:left="709" w:hanging="360"/>
        <w:rPr>
          <w:rFonts w:eastAsia="Arial" w:cs="Arial"/>
          <w:color w:val="000000"/>
          <w:sz w:val="22"/>
        </w:rPr>
      </w:pPr>
      <w:r w:rsidRPr="00F5067B">
        <w:rPr>
          <w:rFonts w:eastAsia="Arial" w:cs="Arial"/>
          <w:color w:val="000000"/>
          <w:sz w:val="22"/>
          <w:szCs w:val="22"/>
        </w:rPr>
        <w:t>Franchisee Employee Pay Audit</w:t>
      </w:r>
    </w:p>
    <w:p w:rsidR="00601764" w:rsidRPr="00F5067B" w:rsidRDefault="00601764" w:rsidP="00F5067B">
      <w:pPr>
        <w:numPr>
          <w:ilvl w:val="0"/>
          <w:numId w:val="51"/>
        </w:numPr>
        <w:spacing w:line="276" w:lineRule="auto"/>
        <w:ind w:left="709" w:hanging="360"/>
        <w:rPr>
          <w:rFonts w:eastAsia="Arial" w:cs="Arial"/>
          <w:color w:val="000000"/>
          <w:sz w:val="22"/>
        </w:rPr>
      </w:pPr>
      <w:r w:rsidRPr="00F5067B">
        <w:rPr>
          <w:rFonts w:eastAsia="Arial" w:cs="Arial"/>
          <w:color w:val="000000"/>
          <w:sz w:val="22"/>
          <w:szCs w:val="22"/>
        </w:rPr>
        <w:t xml:space="preserve">Franchisee Employee Wage Queries </w:t>
      </w:r>
    </w:p>
    <w:p w:rsidR="00601764" w:rsidRPr="00F5067B" w:rsidRDefault="00601764" w:rsidP="00F5067B">
      <w:pPr>
        <w:numPr>
          <w:ilvl w:val="0"/>
          <w:numId w:val="51"/>
        </w:numPr>
        <w:spacing w:line="276" w:lineRule="auto"/>
        <w:ind w:left="709" w:hanging="360"/>
        <w:rPr>
          <w:rFonts w:eastAsia="Arial" w:cs="Arial"/>
          <w:color w:val="000000"/>
          <w:sz w:val="22"/>
        </w:rPr>
      </w:pPr>
      <w:r w:rsidRPr="00F5067B">
        <w:rPr>
          <w:rFonts w:eastAsia="Arial" w:cs="Arial"/>
          <w:color w:val="000000"/>
          <w:sz w:val="22"/>
          <w:szCs w:val="22"/>
        </w:rPr>
        <w:t>Self-Resolution of future complaints</w:t>
      </w:r>
    </w:p>
    <w:p w:rsidR="00601764" w:rsidRPr="00F5067B" w:rsidRDefault="00601764" w:rsidP="00F5067B">
      <w:pPr>
        <w:numPr>
          <w:ilvl w:val="0"/>
          <w:numId w:val="51"/>
        </w:numPr>
        <w:spacing w:after="120" w:line="276" w:lineRule="auto"/>
        <w:ind w:left="709" w:hanging="357"/>
        <w:rPr>
          <w:rFonts w:eastAsia="Arial" w:cs="Arial"/>
          <w:color w:val="000000"/>
          <w:sz w:val="22"/>
        </w:rPr>
      </w:pPr>
      <w:r w:rsidRPr="00F5067B">
        <w:rPr>
          <w:rFonts w:eastAsia="Arial" w:cs="Arial"/>
          <w:color w:val="000000"/>
          <w:sz w:val="22"/>
          <w:szCs w:val="22"/>
        </w:rPr>
        <w:t>Systems and Procedures Review</w:t>
      </w:r>
    </w:p>
    <w:p w:rsidR="00601764" w:rsidRPr="00F5067B" w:rsidRDefault="00601764" w:rsidP="00F5067B">
      <w:pPr>
        <w:spacing w:before="60" w:after="60"/>
        <w:rPr>
          <w:rFonts w:eastAsia="Arial" w:cs="Arial"/>
          <w:sz w:val="22"/>
          <w:szCs w:val="22"/>
        </w:rPr>
      </w:pPr>
      <w:r w:rsidRPr="00F5067B">
        <w:rPr>
          <w:rFonts w:eastAsia="Arial" w:cs="Arial"/>
          <w:sz w:val="22"/>
          <w:szCs w:val="22"/>
        </w:rPr>
        <w:t>The methodology of the audit was agreed between Red Rooster and the Fair Work Ombudsman</w:t>
      </w:r>
      <w:r w:rsidR="00437380">
        <w:rPr>
          <w:rFonts w:eastAsia="Arial" w:cs="Arial"/>
          <w:sz w:val="22"/>
          <w:szCs w:val="22"/>
        </w:rPr>
        <w:t xml:space="preserve">, ensuring that a comprehensive audit could be undertaken, whilst </w:t>
      </w:r>
      <w:r w:rsidR="00437380" w:rsidRPr="00437380">
        <w:rPr>
          <w:rFonts w:eastAsia="Arial" w:cs="Arial"/>
          <w:sz w:val="22"/>
          <w:szCs w:val="22"/>
        </w:rPr>
        <w:t>limit</w:t>
      </w:r>
      <w:r w:rsidR="00437380">
        <w:rPr>
          <w:rFonts w:eastAsia="Arial" w:cs="Arial"/>
          <w:sz w:val="22"/>
          <w:szCs w:val="22"/>
        </w:rPr>
        <w:t>ing</w:t>
      </w:r>
      <w:r w:rsidR="00437380" w:rsidRPr="00437380">
        <w:rPr>
          <w:rFonts w:eastAsia="Arial" w:cs="Arial"/>
          <w:sz w:val="22"/>
          <w:szCs w:val="22"/>
        </w:rPr>
        <w:t xml:space="preserve"> the workload of franchisees in compiling and providing records.</w:t>
      </w:r>
    </w:p>
    <w:p w:rsidR="00601764" w:rsidRPr="00651BEB" w:rsidRDefault="00651BEB" w:rsidP="00F5067B">
      <w:pPr>
        <w:pStyle w:val="Heading2"/>
        <w:spacing w:before="360" w:after="200"/>
        <w:rPr>
          <w:rFonts w:eastAsia="Arial"/>
          <w:color w:val="548DD4"/>
        </w:rPr>
      </w:pPr>
      <w:r w:rsidRPr="00651BEB">
        <w:rPr>
          <w:rFonts w:eastAsia="Arial"/>
          <w:color w:val="548DD4"/>
        </w:rPr>
        <w:t xml:space="preserve"> </w:t>
      </w:r>
      <w:bookmarkStart w:id="7" w:name="_Toc386631655"/>
      <w:r w:rsidR="00601764" w:rsidRPr="00651BEB">
        <w:rPr>
          <w:rFonts w:eastAsia="Arial"/>
          <w:color w:val="548DD4"/>
        </w:rPr>
        <w:t>Franchisee employee pay audit</w:t>
      </w:r>
      <w:bookmarkEnd w:id="7"/>
    </w:p>
    <w:p w:rsidR="00601764" w:rsidRPr="00F5067B" w:rsidRDefault="00601764" w:rsidP="002C00B9">
      <w:pPr>
        <w:rPr>
          <w:rFonts w:eastAsia="Arial" w:cs="Arial"/>
          <w:color w:val="000000"/>
          <w:sz w:val="22"/>
          <w:szCs w:val="22"/>
        </w:rPr>
      </w:pPr>
      <w:r w:rsidRPr="00F5067B">
        <w:rPr>
          <w:rFonts w:eastAsia="Arial" w:cs="Arial"/>
          <w:color w:val="000000"/>
          <w:sz w:val="22"/>
          <w:szCs w:val="22"/>
        </w:rPr>
        <w:t xml:space="preserve">In accordance with the Deed, Red Rooster completed an audit of time and wages records relating to 3140 current and former employees.  </w:t>
      </w:r>
    </w:p>
    <w:p w:rsidR="00601764" w:rsidRPr="00F5067B" w:rsidRDefault="00601764" w:rsidP="00F5067B">
      <w:pPr>
        <w:rPr>
          <w:rFonts w:eastAsia="Arial" w:cs="Arial"/>
          <w:sz w:val="22"/>
          <w:szCs w:val="22"/>
        </w:rPr>
      </w:pPr>
      <w:r w:rsidRPr="00F5067B">
        <w:rPr>
          <w:rFonts w:eastAsia="Arial" w:cs="Arial"/>
          <w:sz w:val="22"/>
          <w:szCs w:val="22"/>
        </w:rPr>
        <w:t xml:space="preserve">The audit covered the period 1 January 2010 to 31 December 2011, and included current and former employees at grades </w:t>
      </w:r>
      <w:r w:rsidRPr="00651BEB">
        <w:rPr>
          <w:rFonts w:eastAsia="Arial" w:cs="Arial"/>
          <w:sz w:val="22"/>
          <w:szCs w:val="22"/>
        </w:rPr>
        <w:t>one, two</w:t>
      </w:r>
      <w:r w:rsidRPr="00F5067B">
        <w:rPr>
          <w:rFonts w:eastAsia="Arial" w:cs="Arial"/>
          <w:sz w:val="22"/>
          <w:szCs w:val="22"/>
        </w:rPr>
        <w:t xml:space="preserve"> and </w:t>
      </w:r>
      <w:r w:rsidRPr="00651BEB">
        <w:rPr>
          <w:rFonts w:eastAsia="Arial" w:cs="Arial"/>
          <w:sz w:val="22"/>
          <w:szCs w:val="22"/>
        </w:rPr>
        <w:t>three</w:t>
      </w:r>
      <w:r w:rsidRPr="00F5067B">
        <w:rPr>
          <w:rFonts w:eastAsia="Arial" w:cs="Arial"/>
          <w:sz w:val="22"/>
          <w:szCs w:val="22"/>
        </w:rPr>
        <w:t xml:space="preserve"> under the 2009 Agreement. Grade </w:t>
      </w:r>
      <w:r w:rsidRPr="00651BEB">
        <w:rPr>
          <w:rFonts w:eastAsia="Arial" w:cs="Arial"/>
          <w:sz w:val="22"/>
          <w:szCs w:val="22"/>
        </w:rPr>
        <w:t>four</w:t>
      </w:r>
      <w:r w:rsidRPr="00F5067B">
        <w:rPr>
          <w:rFonts w:eastAsia="Arial" w:cs="Arial"/>
          <w:sz w:val="22"/>
          <w:szCs w:val="22"/>
        </w:rPr>
        <w:t xml:space="preserve"> employees were not audited, as these rates under the agreement were above the corresponding modern award rates.</w:t>
      </w:r>
    </w:p>
    <w:p w:rsidR="00601764" w:rsidRPr="00651BEB" w:rsidRDefault="00601764" w:rsidP="00F5067B">
      <w:pPr>
        <w:rPr>
          <w:rFonts w:eastAsia="Arial" w:cs="Arial"/>
          <w:sz w:val="22"/>
          <w:szCs w:val="22"/>
        </w:rPr>
      </w:pPr>
      <w:r w:rsidRPr="00F5067B">
        <w:rPr>
          <w:rFonts w:eastAsia="Arial" w:cs="Arial"/>
          <w:sz w:val="22"/>
          <w:szCs w:val="22"/>
        </w:rPr>
        <w:t>The audit was undertaken by Certified Practicing Accountants engaged by Red Rooster at their expense</w:t>
      </w:r>
      <w:r w:rsidRPr="00651BEB">
        <w:rPr>
          <w:rFonts w:eastAsia="Arial" w:cs="Arial"/>
          <w:sz w:val="22"/>
          <w:szCs w:val="22"/>
        </w:rPr>
        <w:t xml:space="preserve">. </w:t>
      </w:r>
    </w:p>
    <w:p w:rsidR="00601764" w:rsidRPr="00F5067B" w:rsidRDefault="005E7502" w:rsidP="00F5067B">
      <w:pPr>
        <w:rPr>
          <w:rFonts w:eastAsia="Arial" w:cs="Arial"/>
          <w:sz w:val="22"/>
          <w:szCs w:val="22"/>
        </w:rPr>
      </w:pPr>
      <w:r>
        <w:rPr>
          <w:rFonts w:eastAsia="Arial" w:cs="Arial"/>
          <w:sz w:val="22"/>
          <w:szCs w:val="22"/>
        </w:rPr>
        <w:t>Before commencing the audit</w:t>
      </w:r>
      <w:r w:rsidR="00601764" w:rsidRPr="00F5067B">
        <w:rPr>
          <w:rFonts w:eastAsia="Arial" w:cs="Arial"/>
          <w:sz w:val="22"/>
          <w:szCs w:val="22"/>
        </w:rPr>
        <w:t xml:space="preserve"> Red Rooster and the Fair Work Ombudsman undertook extensive research to ensure that pay rates were assessed against the correct relevant phased modern award rates, the applicable modern award being the </w:t>
      </w:r>
      <w:r w:rsidR="00601764" w:rsidRPr="00F5067B">
        <w:rPr>
          <w:rFonts w:eastAsia="Arial" w:cs="Arial"/>
          <w:i/>
          <w:sz w:val="22"/>
          <w:szCs w:val="22"/>
        </w:rPr>
        <w:t>Fast Food Industry Award 2010</w:t>
      </w:r>
      <w:r w:rsidR="00601764" w:rsidRPr="00F5067B">
        <w:rPr>
          <w:rFonts w:eastAsia="Arial" w:cs="Arial"/>
          <w:sz w:val="22"/>
          <w:szCs w:val="22"/>
        </w:rPr>
        <w:t>.</w:t>
      </w:r>
    </w:p>
    <w:p w:rsidR="00601764" w:rsidRPr="00F5067B" w:rsidRDefault="00601764" w:rsidP="00F5067B">
      <w:pPr>
        <w:rPr>
          <w:rFonts w:eastAsia="Arial" w:cs="Arial"/>
          <w:sz w:val="22"/>
          <w:szCs w:val="22"/>
        </w:rPr>
      </w:pPr>
      <w:r w:rsidRPr="00F5067B">
        <w:rPr>
          <w:rFonts w:eastAsia="Arial" w:cs="Arial"/>
          <w:sz w:val="22"/>
          <w:szCs w:val="22"/>
        </w:rPr>
        <w:t>The audit identified underpayments totalling $</w:t>
      </w:r>
      <w:r w:rsidRPr="00F5067B">
        <w:rPr>
          <w:rFonts w:eastAsia="Arial" w:cs="Arial"/>
          <w:color w:val="000000"/>
          <w:sz w:val="22"/>
          <w:szCs w:val="22"/>
        </w:rPr>
        <w:t>645,253</w:t>
      </w:r>
      <w:r w:rsidRPr="00F5067B">
        <w:rPr>
          <w:rFonts w:eastAsia="Arial" w:cs="Arial"/>
          <w:sz w:val="22"/>
          <w:szCs w:val="22"/>
        </w:rPr>
        <w:t xml:space="preserve">. The underpayments are being repaid over an extended period, due to the financial circumstances of some franchisees.  The Fair Work Ombudsman will continue to work with Red Rooster to ensure the </w:t>
      </w:r>
      <w:r w:rsidR="005E7502">
        <w:rPr>
          <w:rFonts w:eastAsia="Arial" w:cs="Arial"/>
          <w:sz w:val="22"/>
          <w:szCs w:val="22"/>
        </w:rPr>
        <w:t xml:space="preserve">remaining </w:t>
      </w:r>
      <w:r w:rsidRPr="00F5067B">
        <w:rPr>
          <w:rFonts w:eastAsia="Arial" w:cs="Arial"/>
          <w:sz w:val="22"/>
          <w:szCs w:val="22"/>
        </w:rPr>
        <w:t>underpayments are rectified</w:t>
      </w:r>
      <w:r w:rsidR="005E7502">
        <w:rPr>
          <w:rFonts w:eastAsia="Arial" w:cs="Arial"/>
          <w:sz w:val="22"/>
          <w:szCs w:val="22"/>
        </w:rPr>
        <w:t>.</w:t>
      </w:r>
      <w:r w:rsidRPr="00F5067B">
        <w:rPr>
          <w:rFonts w:eastAsia="Arial" w:cs="Arial"/>
          <w:sz w:val="22"/>
          <w:szCs w:val="22"/>
        </w:rPr>
        <w:t xml:space="preserve"> </w:t>
      </w:r>
      <w:r w:rsidR="002C00B9">
        <w:rPr>
          <w:rFonts w:eastAsia="Arial" w:cs="Arial"/>
          <w:sz w:val="22"/>
          <w:szCs w:val="22"/>
        </w:rPr>
        <w:t xml:space="preserve">A significant proportion of the outstanding underpayments are owed by </w:t>
      </w:r>
      <w:r w:rsidRPr="00F5067B">
        <w:rPr>
          <w:rFonts w:eastAsia="Arial" w:cs="Arial"/>
          <w:sz w:val="22"/>
          <w:szCs w:val="22"/>
        </w:rPr>
        <w:t>two multi-site franchisees</w:t>
      </w:r>
      <w:r w:rsidR="002C00B9">
        <w:rPr>
          <w:rFonts w:eastAsia="Arial" w:cs="Arial"/>
          <w:sz w:val="22"/>
          <w:szCs w:val="22"/>
        </w:rPr>
        <w:t>, which are</w:t>
      </w:r>
      <w:r w:rsidRPr="00F5067B">
        <w:rPr>
          <w:rFonts w:eastAsia="Arial" w:cs="Arial"/>
          <w:sz w:val="22"/>
          <w:szCs w:val="22"/>
        </w:rPr>
        <w:t xml:space="preserve"> responsible for 16 outlets collectively.</w:t>
      </w:r>
    </w:p>
    <w:p w:rsidR="00601764" w:rsidRPr="00651BEB" w:rsidRDefault="00651BEB" w:rsidP="00F5067B">
      <w:pPr>
        <w:pStyle w:val="Heading2"/>
        <w:spacing w:before="360" w:after="200"/>
        <w:rPr>
          <w:rFonts w:eastAsia="Arial"/>
          <w:color w:val="548DD4"/>
        </w:rPr>
      </w:pPr>
      <w:r w:rsidRPr="00651BEB">
        <w:rPr>
          <w:rFonts w:eastAsia="Arial"/>
          <w:color w:val="548DD4"/>
        </w:rPr>
        <w:t xml:space="preserve"> </w:t>
      </w:r>
      <w:bookmarkStart w:id="8" w:name="_Toc386631656"/>
      <w:r w:rsidR="00601764" w:rsidRPr="00651BEB">
        <w:rPr>
          <w:rFonts w:eastAsia="Arial"/>
          <w:color w:val="548DD4"/>
        </w:rPr>
        <w:t>Franchisee employee wage queries</w:t>
      </w:r>
      <w:bookmarkEnd w:id="8"/>
      <w:r w:rsidR="00601764" w:rsidRPr="00651BEB">
        <w:rPr>
          <w:rFonts w:eastAsia="Arial"/>
          <w:color w:val="548DD4"/>
        </w:rPr>
        <w:t xml:space="preserve"> </w:t>
      </w:r>
    </w:p>
    <w:p w:rsidR="00601764" w:rsidRPr="00F5067B" w:rsidRDefault="00601764" w:rsidP="00F5067B">
      <w:pPr>
        <w:tabs>
          <w:tab w:val="left" w:pos="1440"/>
        </w:tabs>
        <w:rPr>
          <w:rFonts w:eastAsia="Arial" w:cs="Arial"/>
          <w:sz w:val="22"/>
          <w:szCs w:val="22"/>
        </w:rPr>
      </w:pPr>
      <w:r w:rsidRPr="00F5067B">
        <w:rPr>
          <w:rFonts w:eastAsia="Arial" w:cs="Arial"/>
          <w:sz w:val="22"/>
          <w:szCs w:val="22"/>
        </w:rPr>
        <w:t>In February 2012, employees of all franchisees</w:t>
      </w:r>
      <w:r w:rsidR="002C00B9">
        <w:rPr>
          <w:rFonts w:eastAsia="Arial" w:cs="Arial"/>
          <w:sz w:val="22"/>
          <w:szCs w:val="22"/>
        </w:rPr>
        <w:t xml:space="preserve"> taking part in the </w:t>
      </w:r>
      <w:proofErr w:type="gramStart"/>
      <w:r w:rsidR="002C00B9">
        <w:rPr>
          <w:rFonts w:eastAsia="Arial" w:cs="Arial"/>
          <w:sz w:val="22"/>
          <w:szCs w:val="22"/>
        </w:rPr>
        <w:t>audit</w:t>
      </w:r>
      <w:r w:rsidRPr="00F5067B">
        <w:rPr>
          <w:rFonts w:eastAsia="Arial" w:cs="Arial"/>
          <w:sz w:val="22"/>
          <w:szCs w:val="22"/>
        </w:rPr>
        <w:t>,</w:t>
      </w:r>
      <w:proofErr w:type="gramEnd"/>
      <w:r w:rsidRPr="00F5067B">
        <w:rPr>
          <w:rFonts w:eastAsia="Arial" w:cs="Arial"/>
          <w:sz w:val="22"/>
          <w:szCs w:val="22"/>
        </w:rPr>
        <w:t xml:space="preserve"> were invited by Red Rooster to report any issues </w:t>
      </w:r>
      <w:r w:rsidR="002C00B9">
        <w:rPr>
          <w:rFonts w:eastAsia="Arial" w:cs="Arial"/>
          <w:sz w:val="22"/>
          <w:szCs w:val="22"/>
        </w:rPr>
        <w:t>or</w:t>
      </w:r>
      <w:r w:rsidRPr="00F5067B">
        <w:rPr>
          <w:rFonts w:eastAsia="Arial" w:cs="Arial"/>
          <w:sz w:val="22"/>
          <w:szCs w:val="22"/>
        </w:rPr>
        <w:t xml:space="preserve"> concerns with their pay</w:t>
      </w:r>
      <w:r w:rsidR="002C00B9">
        <w:rPr>
          <w:rFonts w:eastAsia="Arial" w:cs="Arial"/>
          <w:sz w:val="22"/>
          <w:szCs w:val="22"/>
        </w:rPr>
        <w:t>,</w:t>
      </w:r>
      <w:r w:rsidRPr="00F5067B">
        <w:rPr>
          <w:rFonts w:eastAsia="Arial" w:cs="Arial"/>
          <w:sz w:val="22"/>
          <w:szCs w:val="22"/>
        </w:rPr>
        <w:t xml:space="preserve"> or </w:t>
      </w:r>
      <w:r w:rsidR="002C00B9">
        <w:rPr>
          <w:rFonts w:eastAsia="Arial" w:cs="Arial"/>
          <w:sz w:val="22"/>
          <w:szCs w:val="22"/>
        </w:rPr>
        <w:t xml:space="preserve">to report if they </w:t>
      </w:r>
      <w:r w:rsidRPr="00F5067B">
        <w:rPr>
          <w:rFonts w:eastAsia="Arial" w:cs="Arial"/>
          <w:sz w:val="22"/>
          <w:szCs w:val="22"/>
        </w:rPr>
        <w:t>believed that they had been underpaid wages or entitlements.</w:t>
      </w:r>
    </w:p>
    <w:p w:rsidR="00601764" w:rsidRPr="00651BEB" w:rsidRDefault="00601764" w:rsidP="00F5067B">
      <w:pPr>
        <w:rPr>
          <w:rFonts w:eastAsia="Arial" w:cs="Arial"/>
          <w:sz w:val="22"/>
          <w:szCs w:val="22"/>
        </w:rPr>
      </w:pPr>
      <w:r w:rsidRPr="00F5067B">
        <w:rPr>
          <w:rFonts w:eastAsia="Arial" w:cs="Arial"/>
          <w:sz w:val="22"/>
          <w:szCs w:val="22"/>
        </w:rPr>
        <w:t>There were only four employees who submitted queries to Red R</w:t>
      </w:r>
      <w:r w:rsidR="002C00B9">
        <w:rPr>
          <w:rFonts w:eastAsia="Arial" w:cs="Arial"/>
          <w:sz w:val="22"/>
          <w:szCs w:val="22"/>
        </w:rPr>
        <w:t>ooster: Three employees asked about</w:t>
      </w:r>
      <w:r w:rsidRPr="00F5067B">
        <w:rPr>
          <w:rFonts w:eastAsia="Arial" w:cs="Arial"/>
          <w:sz w:val="22"/>
          <w:szCs w:val="22"/>
        </w:rPr>
        <w:t xml:space="preserve"> whether </w:t>
      </w:r>
      <w:r w:rsidR="002C00B9">
        <w:rPr>
          <w:rFonts w:eastAsia="Arial" w:cs="Arial"/>
          <w:sz w:val="22"/>
          <w:szCs w:val="22"/>
        </w:rPr>
        <w:t>they were entitled to back pay, and the other query was from an employee expressing concern about rostered shift patterns.</w:t>
      </w:r>
      <w:r w:rsidRPr="00F5067B">
        <w:rPr>
          <w:rFonts w:eastAsia="Arial" w:cs="Arial"/>
          <w:sz w:val="22"/>
          <w:szCs w:val="22"/>
        </w:rPr>
        <w:t xml:space="preserve"> </w:t>
      </w:r>
    </w:p>
    <w:p w:rsidR="00601764" w:rsidRPr="00651BEB" w:rsidRDefault="00601764" w:rsidP="00F5067B">
      <w:pPr>
        <w:pStyle w:val="Heading2"/>
        <w:spacing w:before="360" w:after="200"/>
        <w:rPr>
          <w:rFonts w:eastAsia="Arial"/>
          <w:color w:val="548DD4"/>
        </w:rPr>
      </w:pPr>
      <w:r w:rsidRPr="00651BEB">
        <w:rPr>
          <w:rFonts w:eastAsia="Arial"/>
          <w:color w:val="548DD4"/>
        </w:rPr>
        <w:t xml:space="preserve"> </w:t>
      </w:r>
      <w:bookmarkStart w:id="9" w:name="_Toc386631657"/>
      <w:r w:rsidRPr="00651BEB">
        <w:rPr>
          <w:rFonts w:eastAsia="Arial"/>
          <w:color w:val="548DD4"/>
        </w:rPr>
        <w:t>Self-resolution of future complaints</w:t>
      </w:r>
      <w:bookmarkEnd w:id="9"/>
    </w:p>
    <w:p w:rsidR="00601764" w:rsidRPr="00F5067B" w:rsidRDefault="00601764" w:rsidP="00F5067B">
      <w:pPr>
        <w:rPr>
          <w:rFonts w:eastAsia="Arial" w:cs="Arial"/>
          <w:sz w:val="22"/>
        </w:rPr>
      </w:pPr>
      <w:r w:rsidRPr="00F5067B">
        <w:rPr>
          <w:rFonts w:eastAsia="Arial" w:cs="Arial"/>
          <w:sz w:val="22"/>
        </w:rPr>
        <w:t xml:space="preserve">Under the Deed, Red Rooster was given the opportunity to resolve complaints lodged with the Fair Work Ombudsman by employees and former employees of Red Rooster and its franchisees. </w:t>
      </w:r>
    </w:p>
    <w:p w:rsidR="00601764" w:rsidRPr="00A620AF" w:rsidRDefault="00601764" w:rsidP="00F5067B">
      <w:pPr>
        <w:rPr>
          <w:rFonts w:eastAsia="Arial" w:cs="Arial"/>
          <w:b/>
          <w:i/>
          <w:color w:val="548DD4"/>
          <w:sz w:val="28"/>
        </w:rPr>
      </w:pPr>
      <w:r w:rsidRPr="00F5067B">
        <w:rPr>
          <w:rFonts w:eastAsia="Arial" w:cs="Arial"/>
          <w:sz w:val="22"/>
        </w:rPr>
        <w:t xml:space="preserve">During the period of the Deed, there were six complaints lodged against Red Rooster and its franchisees. The main issues related to the underpayment of wages and access to meal breaks. These complaints were all resolved voluntarily, with the exception of one complaint that was not pursued because the employing entity went into liquidation. </w:t>
      </w:r>
    </w:p>
    <w:p w:rsidR="00601764" w:rsidRPr="002C00B9" w:rsidRDefault="00601764" w:rsidP="00F5067B">
      <w:pPr>
        <w:pStyle w:val="Heading2"/>
        <w:spacing w:before="360" w:after="200"/>
        <w:rPr>
          <w:rFonts w:eastAsia="Arial"/>
          <w:color w:val="548DD4"/>
        </w:rPr>
      </w:pPr>
      <w:bookmarkStart w:id="10" w:name="_Toc386631658"/>
      <w:r w:rsidRPr="002C00B9">
        <w:rPr>
          <w:rFonts w:eastAsia="Arial"/>
          <w:color w:val="548DD4"/>
        </w:rPr>
        <w:t>Systems and procedures review</w:t>
      </w:r>
      <w:bookmarkEnd w:id="10"/>
    </w:p>
    <w:p w:rsidR="00601764" w:rsidRPr="00F5067B" w:rsidRDefault="00601764" w:rsidP="00F5067B">
      <w:pPr>
        <w:rPr>
          <w:rFonts w:eastAsia="Arial" w:cs="Arial"/>
          <w:sz w:val="22"/>
          <w:szCs w:val="22"/>
        </w:rPr>
      </w:pPr>
      <w:r w:rsidRPr="00F5067B">
        <w:rPr>
          <w:rFonts w:eastAsia="Arial" w:cs="Arial"/>
          <w:sz w:val="22"/>
          <w:szCs w:val="22"/>
        </w:rPr>
        <w:t xml:space="preserve">Red Rooster is continuing to work on improving the compliance of its franchisees. One of the undertakings made by Red Rooster as part of the Deed was that it would ensure that it complies at all times and in all respects with </w:t>
      </w:r>
      <w:r w:rsidRPr="00651BEB">
        <w:rPr>
          <w:rFonts w:eastAsia="Arial" w:cs="Arial"/>
          <w:sz w:val="22"/>
          <w:szCs w:val="22"/>
        </w:rPr>
        <w:t>r</w:t>
      </w:r>
      <w:r w:rsidRPr="00F5067B">
        <w:rPr>
          <w:rFonts w:eastAsia="Arial" w:cs="Arial"/>
          <w:sz w:val="22"/>
          <w:szCs w:val="22"/>
        </w:rPr>
        <w:t xml:space="preserve">elevant Commonwealth </w:t>
      </w:r>
      <w:r w:rsidRPr="00651BEB">
        <w:rPr>
          <w:rFonts w:eastAsia="Arial" w:cs="Arial"/>
          <w:sz w:val="22"/>
          <w:szCs w:val="22"/>
        </w:rPr>
        <w:t>w</w:t>
      </w:r>
      <w:r w:rsidRPr="00F5067B">
        <w:rPr>
          <w:rFonts w:eastAsia="Arial" w:cs="Arial"/>
          <w:sz w:val="22"/>
          <w:szCs w:val="22"/>
        </w:rPr>
        <w:t xml:space="preserve">orkplace </w:t>
      </w:r>
      <w:r w:rsidRPr="00651BEB">
        <w:rPr>
          <w:rFonts w:eastAsia="Arial" w:cs="Arial"/>
          <w:sz w:val="22"/>
          <w:szCs w:val="22"/>
        </w:rPr>
        <w:t>l</w:t>
      </w:r>
      <w:r w:rsidRPr="00F5067B">
        <w:rPr>
          <w:rFonts w:eastAsia="Arial" w:cs="Arial"/>
          <w:sz w:val="22"/>
          <w:szCs w:val="22"/>
        </w:rPr>
        <w:t xml:space="preserve">aws by developing systems and processes to ensure ongoing compliance. </w:t>
      </w:r>
    </w:p>
    <w:p w:rsidR="002C00B9" w:rsidRDefault="00601764" w:rsidP="002C00B9">
      <w:pPr>
        <w:rPr>
          <w:rFonts w:eastAsia="Arial" w:cs="Arial"/>
          <w:sz w:val="22"/>
          <w:szCs w:val="22"/>
        </w:rPr>
      </w:pPr>
      <w:r w:rsidRPr="00F5067B">
        <w:rPr>
          <w:rFonts w:eastAsia="Arial" w:cs="Arial"/>
          <w:sz w:val="22"/>
          <w:szCs w:val="22"/>
        </w:rPr>
        <w:t>This included a commitment to provide the Fair Work Ombudsman with details of the implementation of systems and processes designed to ensure ongoing compliance with relevan</w:t>
      </w:r>
      <w:r w:rsidR="002C00B9">
        <w:rPr>
          <w:rFonts w:eastAsia="Arial" w:cs="Arial"/>
          <w:sz w:val="22"/>
          <w:szCs w:val="22"/>
        </w:rPr>
        <w:t xml:space="preserve">t Commonwealth Workplace Laws. </w:t>
      </w:r>
    </w:p>
    <w:p w:rsidR="00601764" w:rsidRPr="00BE57AC" w:rsidRDefault="00601764" w:rsidP="002C00B9">
      <w:pPr>
        <w:spacing w:after="200"/>
        <w:rPr>
          <w:rFonts w:eastAsia="Arial" w:cs="Arial"/>
          <w:sz w:val="22"/>
          <w:szCs w:val="22"/>
        </w:rPr>
      </w:pPr>
      <w:r w:rsidRPr="00F5067B">
        <w:rPr>
          <w:rFonts w:eastAsia="Arial" w:cs="Arial"/>
          <w:sz w:val="22"/>
          <w:szCs w:val="22"/>
        </w:rPr>
        <w:t>Since entering into the Deed</w:t>
      </w:r>
      <w:r w:rsidRPr="00651BEB">
        <w:rPr>
          <w:rFonts w:eastAsia="Arial" w:cs="Arial"/>
          <w:sz w:val="22"/>
          <w:szCs w:val="22"/>
        </w:rPr>
        <w:t>,</w:t>
      </w:r>
      <w:r w:rsidRPr="00BE57AC">
        <w:rPr>
          <w:rFonts w:eastAsia="Arial" w:cs="Arial"/>
          <w:sz w:val="22"/>
          <w:szCs w:val="22"/>
        </w:rPr>
        <w:t xml:space="preserve"> Red Rooster has:</w:t>
      </w:r>
    </w:p>
    <w:p w:rsidR="00601764" w:rsidRPr="00BE57AC" w:rsidRDefault="00601764" w:rsidP="00BE57AC">
      <w:pPr>
        <w:numPr>
          <w:ilvl w:val="0"/>
          <w:numId w:val="51"/>
        </w:numPr>
        <w:spacing w:line="276" w:lineRule="auto"/>
        <w:ind w:left="709" w:hanging="360"/>
        <w:rPr>
          <w:rFonts w:eastAsia="Arial" w:cs="Arial"/>
          <w:color w:val="000000"/>
          <w:sz w:val="22"/>
        </w:rPr>
      </w:pPr>
      <w:r w:rsidRPr="00651BEB">
        <w:rPr>
          <w:rFonts w:eastAsia="Arial" w:cs="Arial"/>
          <w:color w:val="000000"/>
          <w:sz w:val="22"/>
          <w:szCs w:val="22"/>
        </w:rPr>
        <w:t>p</w:t>
      </w:r>
      <w:r w:rsidRPr="00BE57AC">
        <w:rPr>
          <w:rFonts w:eastAsia="Arial" w:cs="Arial"/>
          <w:color w:val="000000"/>
          <w:sz w:val="22"/>
          <w:szCs w:val="22"/>
        </w:rPr>
        <w:t>osted all relevant policies and procedures on their on-line communications platform for the franchisee network</w:t>
      </w:r>
    </w:p>
    <w:p w:rsidR="00601764" w:rsidRPr="00BE57AC" w:rsidRDefault="00601764" w:rsidP="00BE57AC">
      <w:pPr>
        <w:numPr>
          <w:ilvl w:val="0"/>
          <w:numId w:val="51"/>
        </w:numPr>
        <w:spacing w:line="276" w:lineRule="auto"/>
        <w:ind w:left="709" w:hanging="360"/>
        <w:rPr>
          <w:rFonts w:eastAsia="Arial" w:cs="Arial"/>
          <w:color w:val="000000"/>
          <w:sz w:val="22"/>
        </w:rPr>
      </w:pPr>
      <w:r w:rsidRPr="00651BEB">
        <w:rPr>
          <w:rFonts w:eastAsia="Arial" w:cs="Arial"/>
          <w:color w:val="000000"/>
          <w:sz w:val="22"/>
          <w:szCs w:val="22"/>
        </w:rPr>
        <w:t>c</w:t>
      </w:r>
      <w:r w:rsidRPr="00BE57AC">
        <w:rPr>
          <w:rFonts w:eastAsia="Arial" w:cs="Arial"/>
          <w:color w:val="000000"/>
          <w:sz w:val="22"/>
          <w:szCs w:val="22"/>
        </w:rPr>
        <w:t xml:space="preserve">onducted franchisee webinars to explain obligations under the 2009 Agreement and the </w:t>
      </w:r>
      <w:r w:rsidRPr="002C00B9">
        <w:rPr>
          <w:rFonts w:eastAsia="Arial" w:cs="Arial"/>
          <w:i/>
          <w:color w:val="000000"/>
          <w:sz w:val="22"/>
          <w:szCs w:val="22"/>
        </w:rPr>
        <w:t>Fast Food Industry Award 2010</w:t>
      </w:r>
    </w:p>
    <w:p w:rsidR="00601764" w:rsidRPr="00BE57AC" w:rsidRDefault="00601764" w:rsidP="00BE57AC">
      <w:pPr>
        <w:numPr>
          <w:ilvl w:val="0"/>
          <w:numId w:val="51"/>
        </w:numPr>
        <w:spacing w:line="276" w:lineRule="auto"/>
        <w:ind w:left="709" w:hanging="360"/>
        <w:rPr>
          <w:rFonts w:eastAsia="Arial" w:cs="Arial"/>
          <w:color w:val="000000"/>
          <w:sz w:val="22"/>
        </w:rPr>
      </w:pPr>
      <w:r w:rsidRPr="00651BEB">
        <w:rPr>
          <w:rFonts w:eastAsia="Arial" w:cs="Arial"/>
          <w:color w:val="000000"/>
          <w:sz w:val="22"/>
          <w:szCs w:val="22"/>
        </w:rPr>
        <w:t>a</w:t>
      </w:r>
      <w:r w:rsidRPr="00BE57AC">
        <w:rPr>
          <w:rFonts w:eastAsia="Arial" w:cs="Arial"/>
          <w:color w:val="000000"/>
          <w:sz w:val="22"/>
          <w:szCs w:val="22"/>
        </w:rPr>
        <w:t>ttended franchisee meetings to present changes in legislation and updates on significant changes including minimum wage increases</w:t>
      </w:r>
    </w:p>
    <w:p w:rsidR="00601764" w:rsidRPr="00BE57AC" w:rsidRDefault="00601764" w:rsidP="00BE57AC">
      <w:pPr>
        <w:numPr>
          <w:ilvl w:val="0"/>
          <w:numId w:val="51"/>
        </w:numPr>
        <w:spacing w:line="276" w:lineRule="auto"/>
        <w:ind w:left="709" w:hanging="360"/>
        <w:rPr>
          <w:rFonts w:eastAsia="Arial" w:cs="Arial"/>
          <w:color w:val="000000"/>
          <w:sz w:val="22"/>
        </w:rPr>
      </w:pPr>
      <w:r w:rsidRPr="00651BEB">
        <w:rPr>
          <w:rFonts w:eastAsia="Arial" w:cs="Arial"/>
          <w:color w:val="000000"/>
          <w:sz w:val="22"/>
          <w:szCs w:val="22"/>
        </w:rPr>
        <w:t>p</w:t>
      </w:r>
      <w:r w:rsidRPr="00BE57AC">
        <w:rPr>
          <w:rFonts w:eastAsia="Arial" w:cs="Arial"/>
          <w:color w:val="000000"/>
          <w:sz w:val="22"/>
          <w:szCs w:val="22"/>
        </w:rPr>
        <w:t>rovided all franchisees with the correct transitional rates as supplied by Red Rooster’s legal advisors and checked with the Fair Work Ombudsman</w:t>
      </w:r>
    </w:p>
    <w:p w:rsidR="002C00B9" w:rsidRPr="0021407E" w:rsidRDefault="00601764" w:rsidP="0021407E">
      <w:pPr>
        <w:numPr>
          <w:ilvl w:val="0"/>
          <w:numId w:val="51"/>
        </w:numPr>
        <w:spacing w:line="276" w:lineRule="auto"/>
        <w:ind w:left="709" w:hanging="360"/>
        <w:rPr>
          <w:rFonts w:eastAsia="Arial" w:cs="Arial"/>
          <w:color w:val="000000"/>
          <w:sz w:val="22"/>
          <w:szCs w:val="22"/>
        </w:rPr>
      </w:pPr>
      <w:r w:rsidRPr="00651BEB">
        <w:rPr>
          <w:rFonts w:eastAsia="Arial" w:cs="Arial"/>
          <w:color w:val="000000"/>
          <w:sz w:val="22"/>
          <w:szCs w:val="22"/>
        </w:rPr>
        <w:t>Introduced</w:t>
      </w:r>
      <w:r w:rsidRPr="00BE57AC">
        <w:rPr>
          <w:rFonts w:eastAsia="Arial" w:cs="Arial"/>
          <w:color w:val="000000"/>
          <w:sz w:val="22"/>
          <w:szCs w:val="22"/>
        </w:rPr>
        <w:t xml:space="preserve"> additional auditing processes of rate changes in the payroll system.</w:t>
      </w:r>
    </w:p>
    <w:p w:rsidR="0021407E" w:rsidRDefault="0021407E">
      <w:pPr>
        <w:spacing w:before="0"/>
        <w:rPr>
          <w:rFonts w:eastAsia="Arial"/>
          <w:b/>
          <w:color w:val="548DD4"/>
          <w:sz w:val="28"/>
          <w:szCs w:val="26"/>
        </w:rPr>
      </w:pPr>
      <w:bookmarkStart w:id="11" w:name="_Toc386627945"/>
      <w:bookmarkStart w:id="12" w:name="_Toc386631243"/>
      <w:bookmarkStart w:id="13" w:name="_Toc386631660"/>
      <w:bookmarkStart w:id="14" w:name="_Toc386631661"/>
      <w:bookmarkEnd w:id="11"/>
      <w:bookmarkEnd w:id="12"/>
      <w:bookmarkEnd w:id="13"/>
      <w:r>
        <w:rPr>
          <w:rFonts w:eastAsia="Arial"/>
          <w:color w:val="548DD4"/>
        </w:rPr>
        <w:br w:type="page"/>
      </w:r>
    </w:p>
    <w:p w:rsidR="00601764" w:rsidRPr="00651BEB" w:rsidRDefault="00601764" w:rsidP="00BE57AC">
      <w:pPr>
        <w:pStyle w:val="Heading1"/>
        <w:spacing w:before="360" w:after="240"/>
        <w:rPr>
          <w:rFonts w:eastAsia="Arial"/>
          <w:color w:val="548DD4"/>
        </w:rPr>
      </w:pPr>
      <w:r w:rsidRPr="00651BEB">
        <w:rPr>
          <w:rFonts w:eastAsia="Arial"/>
          <w:color w:val="548DD4"/>
        </w:rPr>
        <w:t>Audit outcomes and rectification</w:t>
      </w:r>
      <w:bookmarkEnd w:id="14"/>
    </w:p>
    <w:p w:rsidR="00601764" w:rsidRPr="00BE57AC" w:rsidRDefault="00601764" w:rsidP="00BE57AC">
      <w:pPr>
        <w:spacing w:before="240" w:after="240"/>
        <w:rPr>
          <w:rFonts w:eastAsia="Arial" w:cs="Arial"/>
          <w:sz w:val="22"/>
        </w:rPr>
      </w:pPr>
      <w:r w:rsidRPr="00BE57AC">
        <w:rPr>
          <w:rFonts w:eastAsia="Arial" w:cs="Arial"/>
          <w:sz w:val="22"/>
        </w:rPr>
        <w:t>Red Rooster reported the following audit outcomes: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9"/>
        <w:gridCol w:w="2657"/>
        <w:gridCol w:w="3393"/>
      </w:tblGrid>
      <w:tr w:rsidR="007D7560" w:rsidTr="0021407E">
        <w:trPr>
          <w:trHeight w:val="482"/>
          <w:tblHeader/>
        </w:trPr>
        <w:tc>
          <w:tcPr>
            <w:tcW w:w="2079" w:type="dxa"/>
            <w:shd w:val="clear" w:color="auto" w:fill="auto"/>
          </w:tcPr>
          <w:p w:rsidR="007D7560" w:rsidRPr="00651BEB" w:rsidRDefault="007D7560" w:rsidP="002C2D16">
            <w:pPr>
              <w:rPr>
                <w:rFonts w:eastAsia="Arial" w:cs="Arial"/>
                <w:sz w:val="24"/>
                <w:szCs w:val="22"/>
              </w:rPr>
            </w:pPr>
          </w:p>
        </w:tc>
        <w:tc>
          <w:tcPr>
            <w:tcW w:w="2657" w:type="dxa"/>
            <w:shd w:val="clear" w:color="auto" w:fill="auto"/>
          </w:tcPr>
          <w:p w:rsidR="007D7560" w:rsidRPr="00651BEB" w:rsidRDefault="007D7560" w:rsidP="007D7560">
            <w:pPr>
              <w:jc w:val="center"/>
              <w:rPr>
                <w:rFonts w:eastAsia="Arial" w:cs="Arial"/>
                <w:b/>
                <w:sz w:val="24"/>
                <w:szCs w:val="22"/>
              </w:rPr>
            </w:pPr>
            <w:r w:rsidRPr="00651BEB">
              <w:rPr>
                <w:rFonts w:eastAsia="Arial" w:cs="Arial"/>
                <w:b/>
                <w:sz w:val="24"/>
                <w:szCs w:val="22"/>
              </w:rPr>
              <w:t>Total employees</w:t>
            </w:r>
          </w:p>
        </w:tc>
        <w:tc>
          <w:tcPr>
            <w:tcW w:w="3393" w:type="dxa"/>
            <w:shd w:val="clear" w:color="auto" w:fill="auto"/>
          </w:tcPr>
          <w:p w:rsidR="007D7560" w:rsidRPr="00651BEB" w:rsidRDefault="007D7560" w:rsidP="007D7560">
            <w:pPr>
              <w:jc w:val="center"/>
              <w:rPr>
                <w:rFonts w:eastAsia="Arial" w:cs="Arial"/>
                <w:b/>
                <w:sz w:val="24"/>
                <w:szCs w:val="22"/>
              </w:rPr>
            </w:pPr>
            <w:r w:rsidRPr="00651BEB">
              <w:rPr>
                <w:rFonts w:eastAsia="Arial" w:cs="Arial"/>
                <w:b/>
                <w:sz w:val="24"/>
                <w:szCs w:val="22"/>
              </w:rPr>
              <w:t>Total underpayments</w:t>
            </w:r>
          </w:p>
        </w:tc>
      </w:tr>
      <w:tr w:rsidR="007D7560" w:rsidTr="007D7560">
        <w:trPr>
          <w:trHeight w:val="769"/>
        </w:trPr>
        <w:tc>
          <w:tcPr>
            <w:tcW w:w="2079" w:type="dxa"/>
            <w:shd w:val="clear" w:color="auto" w:fill="auto"/>
          </w:tcPr>
          <w:p w:rsidR="007D7560" w:rsidRPr="00651BEB" w:rsidRDefault="007D7560" w:rsidP="002C2D16">
            <w:pPr>
              <w:rPr>
                <w:rFonts w:eastAsia="Arial" w:cs="Arial"/>
                <w:b/>
                <w:sz w:val="24"/>
                <w:szCs w:val="22"/>
              </w:rPr>
            </w:pPr>
            <w:r w:rsidRPr="00651BEB">
              <w:rPr>
                <w:rFonts w:eastAsia="Arial" w:cs="Arial"/>
                <w:b/>
                <w:sz w:val="24"/>
                <w:szCs w:val="22"/>
              </w:rPr>
              <w:t>Audits completed</w:t>
            </w:r>
          </w:p>
        </w:tc>
        <w:tc>
          <w:tcPr>
            <w:tcW w:w="2657" w:type="dxa"/>
            <w:shd w:val="clear" w:color="auto" w:fill="auto"/>
          </w:tcPr>
          <w:p w:rsidR="007D7560" w:rsidRPr="00651BEB" w:rsidRDefault="007D7560" w:rsidP="00651BEB">
            <w:pPr>
              <w:jc w:val="center"/>
              <w:rPr>
                <w:rFonts w:eastAsia="Arial" w:cs="Arial"/>
                <w:sz w:val="24"/>
                <w:szCs w:val="22"/>
              </w:rPr>
            </w:pPr>
            <w:r w:rsidRPr="00651BEB">
              <w:rPr>
                <w:rFonts w:eastAsia="Arial" w:cs="Arial"/>
                <w:sz w:val="24"/>
                <w:szCs w:val="22"/>
              </w:rPr>
              <w:t>3 140</w:t>
            </w:r>
          </w:p>
        </w:tc>
        <w:tc>
          <w:tcPr>
            <w:tcW w:w="3393" w:type="dxa"/>
            <w:shd w:val="clear" w:color="auto" w:fill="auto"/>
          </w:tcPr>
          <w:p w:rsidR="007D7560" w:rsidRPr="00651BEB" w:rsidRDefault="007D7560" w:rsidP="00651BEB">
            <w:pPr>
              <w:jc w:val="center"/>
              <w:rPr>
                <w:rFonts w:eastAsia="Arial" w:cs="Arial"/>
                <w:sz w:val="24"/>
                <w:szCs w:val="22"/>
              </w:rPr>
            </w:pPr>
            <w:r w:rsidRPr="00651BEB">
              <w:rPr>
                <w:rFonts w:eastAsia="Arial" w:cs="Arial"/>
                <w:sz w:val="24"/>
                <w:szCs w:val="22"/>
              </w:rPr>
              <w:t>$645 253</w:t>
            </w:r>
          </w:p>
        </w:tc>
      </w:tr>
      <w:tr w:rsidR="007D7560" w:rsidTr="007D7560">
        <w:trPr>
          <w:trHeight w:val="1076"/>
        </w:trPr>
        <w:tc>
          <w:tcPr>
            <w:tcW w:w="2079" w:type="dxa"/>
            <w:shd w:val="clear" w:color="auto" w:fill="auto"/>
          </w:tcPr>
          <w:p w:rsidR="007D7560" w:rsidRPr="00651BEB" w:rsidRDefault="007D7560" w:rsidP="003E18D1">
            <w:pPr>
              <w:rPr>
                <w:rFonts w:eastAsia="Arial" w:cs="Arial"/>
                <w:b/>
                <w:sz w:val="24"/>
                <w:szCs w:val="22"/>
              </w:rPr>
            </w:pPr>
            <w:r w:rsidRPr="00651BEB">
              <w:rPr>
                <w:rFonts w:eastAsia="Arial" w:cs="Arial"/>
                <w:b/>
                <w:sz w:val="24"/>
                <w:szCs w:val="22"/>
              </w:rPr>
              <w:t xml:space="preserve">Back payments completed </w:t>
            </w:r>
          </w:p>
        </w:tc>
        <w:tc>
          <w:tcPr>
            <w:tcW w:w="2657" w:type="dxa"/>
            <w:shd w:val="clear" w:color="auto" w:fill="auto"/>
          </w:tcPr>
          <w:p w:rsidR="007D7560" w:rsidRPr="00651BEB" w:rsidRDefault="007D7560" w:rsidP="00651BEB">
            <w:pPr>
              <w:jc w:val="center"/>
              <w:rPr>
                <w:rFonts w:eastAsia="Arial" w:cs="Arial"/>
                <w:sz w:val="24"/>
                <w:szCs w:val="22"/>
              </w:rPr>
            </w:pPr>
            <w:r>
              <w:rPr>
                <w:rFonts w:eastAsia="Arial" w:cs="Arial"/>
                <w:sz w:val="24"/>
                <w:szCs w:val="22"/>
              </w:rPr>
              <w:t>1206</w:t>
            </w:r>
          </w:p>
        </w:tc>
        <w:tc>
          <w:tcPr>
            <w:tcW w:w="3393" w:type="dxa"/>
            <w:shd w:val="clear" w:color="auto" w:fill="auto"/>
          </w:tcPr>
          <w:p w:rsidR="007D7560" w:rsidRPr="00651BEB" w:rsidRDefault="007D7560" w:rsidP="00651BEB">
            <w:pPr>
              <w:jc w:val="center"/>
              <w:rPr>
                <w:rFonts w:eastAsia="Arial" w:cs="Arial"/>
                <w:sz w:val="24"/>
                <w:szCs w:val="22"/>
              </w:rPr>
            </w:pPr>
            <w:r w:rsidRPr="00651BEB">
              <w:rPr>
                <w:rFonts w:eastAsia="Arial" w:cs="Arial"/>
                <w:sz w:val="24"/>
                <w:szCs w:val="22"/>
              </w:rPr>
              <w:t>$34</w:t>
            </w:r>
            <w:r>
              <w:rPr>
                <w:rFonts w:eastAsia="Arial" w:cs="Arial"/>
                <w:sz w:val="24"/>
                <w:szCs w:val="22"/>
              </w:rPr>
              <w:t>6 285</w:t>
            </w:r>
          </w:p>
        </w:tc>
      </w:tr>
      <w:tr w:rsidR="007D7560" w:rsidTr="007D7560">
        <w:trPr>
          <w:trHeight w:val="1076"/>
        </w:trPr>
        <w:tc>
          <w:tcPr>
            <w:tcW w:w="2079" w:type="dxa"/>
            <w:shd w:val="clear" w:color="auto" w:fill="auto"/>
          </w:tcPr>
          <w:p w:rsidR="007D7560" w:rsidRPr="00651BEB" w:rsidRDefault="007D7560" w:rsidP="002C2D16">
            <w:pPr>
              <w:rPr>
                <w:rFonts w:eastAsia="Arial" w:cs="Arial"/>
                <w:b/>
                <w:sz w:val="24"/>
                <w:szCs w:val="22"/>
              </w:rPr>
            </w:pPr>
            <w:proofErr w:type="spellStart"/>
            <w:r>
              <w:rPr>
                <w:rFonts w:eastAsia="Arial" w:cs="Arial"/>
                <w:b/>
                <w:sz w:val="24"/>
                <w:szCs w:val="22"/>
              </w:rPr>
              <w:t>Backpayments</w:t>
            </w:r>
            <w:proofErr w:type="spellEnd"/>
            <w:r>
              <w:rPr>
                <w:rFonts w:eastAsia="Arial" w:cs="Arial"/>
                <w:b/>
                <w:sz w:val="24"/>
                <w:szCs w:val="22"/>
              </w:rPr>
              <w:t xml:space="preserve"> in progress</w:t>
            </w:r>
          </w:p>
        </w:tc>
        <w:tc>
          <w:tcPr>
            <w:tcW w:w="2657" w:type="dxa"/>
            <w:shd w:val="clear" w:color="auto" w:fill="auto"/>
          </w:tcPr>
          <w:p w:rsidR="007D7560" w:rsidRPr="00651BEB" w:rsidRDefault="007D7560" w:rsidP="00651BEB">
            <w:pPr>
              <w:jc w:val="center"/>
              <w:rPr>
                <w:rFonts w:eastAsia="Arial" w:cs="Arial"/>
                <w:sz w:val="24"/>
                <w:szCs w:val="22"/>
              </w:rPr>
            </w:pPr>
            <w:r>
              <w:rPr>
                <w:rFonts w:eastAsia="Arial" w:cs="Arial"/>
                <w:sz w:val="24"/>
                <w:szCs w:val="22"/>
              </w:rPr>
              <w:t>1934</w:t>
            </w:r>
          </w:p>
        </w:tc>
        <w:tc>
          <w:tcPr>
            <w:tcW w:w="3393" w:type="dxa"/>
            <w:shd w:val="clear" w:color="auto" w:fill="auto"/>
          </w:tcPr>
          <w:p w:rsidR="007D7560" w:rsidRPr="00651BEB" w:rsidRDefault="007D7560" w:rsidP="00651BEB">
            <w:pPr>
              <w:jc w:val="center"/>
              <w:rPr>
                <w:rFonts w:eastAsia="Arial" w:cs="Arial"/>
                <w:sz w:val="24"/>
                <w:szCs w:val="22"/>
              </w:rPr>
            </w:pPr>
            <w:r>
              <w:rPr>
                <w:rFonts w:eastAsia="Arial" w:cs="Arial"/>
                <w:sz w:val="24"/>
                <w:szCs w:val="22"/>
              </w:rPr>
              <w:t>$298 698</w:t>
            </w:r>
          </w:p>
        </w:tc>
      </w:tr>
    </w:tbl>
    <w:p w:rsidR="00601764" w:rsidRDefault="00601764" w:rsidP="002C2D16">
      <w:pPr>
        <w:rPr>
          <w:rFonts w:eastAsia="Arial" w:cs="Arial"/>
          <w:sz w:val="24"/>
        </w:rPr>
      </w:pPr>
    </w:p>
    <w:p w:rsidR="00601764" w:rsidRPr="00BE57AC" w:rsidRDefault="002C00B9" w:rsidP="00BE57AC">
      <w:pPr>
        <w:rPr>
          <w:rFonts w:eastAsia="Arial" w:cs="Arial"/>
          <w:sz w:val="22"/>
          <w:szCs w:val="22"/>
        </w:rPr>
      </w:pPr>
      <w:r>
        <w:rPr>
          <w:rFonts w:eastAsia="Arial" w:cs="Arial"/>
          <w:sz w:val="22"/>
          <w:szCs w:val="22"/>
        </w:rPr>
        <w:t>In total, 106 franchisee-</w:t>
      </w:r>
      <w:r w:rsidR="00601764" w:rsidRPr="00BE57AC">
        <w:rPr>
          <w:rFonts w:eastAsia="Arial" w:cs="Arial"/>
          <w:sz w:val="22"/>
          <w:szCs w:val="22"/>
        </w:rPr>
        <w:t xml:space="preserve">operated </w:t>
      </w:r>
      <w:r w:rsidR="00766C92">
        <w:rPr>
          <w:rFonts w:eastAsia="Arial" w:cs="Arial"/>
          <w:sz w:val="22"/>
          <w:szCs w:val="22"/>
        </w:rPr>
        <w:t>outlet</w:t>
      </w:r>
      <w:r w:rsidR="00601764" w:rsidRPr="00BE57AC">
        <w:rPr>
          <w:rFonts w:eastAsia="Arial" w:cs="Arial"/>
          <w:sz w:val="22"/>
          <w:szCs w:val="22"/>
        </w:rPr>
        <w:t xml:space="preserve">s were identified as requiring an audit. Audits of 23 </w:t>
      </w:r>
      <w:r w:rsidR="00766C92">
        <w:rPr>
          <w:rFonts w:eastAsia="Arial" w:cs="Arial"/>
          <w:sz w:val="22"/>
          <w:szCs w:val="22"/>
        </w:rPr>
        <w:t>outlet</w:t>
      </w:r>
      <w:r w:rsidR="00601764" w:rsidRPr="00BE57AC">
        <w:rPr>
          <w:rFonts w:eastAsia="Arial" w:cs="Arial"/>
          <w:sz w:val="22"/>
          <w:szCs w:val="22"/>
        </w:rPr>
        <w:t xml:space="preserve">s were not completed due to the employing entities being placed into liquidation. </w:t>
      </w:r>
    </w:p>
    <w:p w:rsidR="00601764" w:rsidRDefault="00601764" w:rsidP="002C00B9">
      <w:pPr>
        <w:tabs>
          <w:tab w:val="left" w:pos="1440"/>
        </w:tabs>
        <w:rPr>
          <w:rFonts w:eastAsia="Arial" w:cs="Arial"/>
          <w:sz w:val="22"/>
          <w:szCs w:val="22"/>
        </w:rPr>
      </w:pPr>
      <w:r w:rsidRPr="00BE57AC">
        <w:rPr>
          <w:rFonts w:eastAsia="Arial" w:cs="Arial"/>
          <w:sz w:val="22"/>
          <w:szCs w:val="22"/>
        </w:rPr>
        <w:t>In accordance with the Deed, all back payments were due to be made by 30 September 2012.  While some back payme</w:t>
      </w:r>
      <w:r w:rsidR="002C00B9">
        <w:rPr>
          <w:rFonts w:eastAsia="Arial" w:cs="Arial"/>
          <w:sz w:val="22"/>
          <w:szCs w:val="22"/>
        </w:rPr>
        <w:t>nts were made before this date</w:t>
      </w:r>
      <w:r w:rsidRPr="00BE57AC">
        <w:rPr>
          <w:rFonts w:eastAsia="Arial" w:cs="Arial"/>
          <w:sz w:val="22"/>
          <w:szCs w:val="22"/>
        </w:rPr>
        <w:t>, there have been significant delays with some franchisees making back payments.</w:t>
      </w:r>
      <w:r w:rsidR="002C00B9">
        <w:rPr>
          <w:rFonts w:eastAsia="Arial" w:cs="Arial"/>
          <w:sz w:val="22"/>
          <w:szCs w:val="22"/>
        </w:rPr>
        <w:t xml:space="preserve"> I</w:t>
      </w:r>
      <w:r w:rsidR="002C00B9" w:rsidRPr="00BE57AC">
        <w:rPr>
          <w:rFonts w:eastAsia="Arial" w:cs="Arial"/>
          <w:sz w:val="22"/>
          <w:szCs w:val="22"/>
        </w:rPr>
        <w:t>n many instances the tim</w:t>
      </w:r>
      <w:r w:rsidR="002C00B9">
        <w:rPr>
          <w:rFonts w:eastAsia="Arial" w:cs="Arial"/>
          <w:sz w:val="22"/>
          <w:szCs w:val="22"/>
        </w:rPr>
        <w:t xml:space="preserve">eframes set out in the Deed </w:t>
      </w:r>
      <w:r w:rsidR="002C00B9" w:rsidRPr="00BE57AC">
        <w:rPr>
          <w:rFonts w:eastAsia="Arial" w:cs="Arial"/>
          <w:sz w:val="22"/>
          <w:szCs w:val="22"/>
        </w:rPr>
        <w:t xml:space="preserve">were extended in order to provide particular franchisees with adequate capacity. </w:t>
      </w:r>
    </w:p>
    <w:p w:rsidR="002C00B9" w:rsidRDefault="002C00B9" w:rsidP="002C00B9">
      <w:pPr>
        <w:tabs>
          <w:tab w:val="left" w:pos="1440"/>
        </w:tabs>
        <w:rPr>
          <w:rFonts w:eastAsia="Arial" w:cs="Arial"/>
          <w:sz w:val="22"/>
          <w:szCs w:val="22"/>
        </w:rPr>
      </w:pPr>
      <w:r w:rsidRPr="00BE57AC">
        <w:rPr>
          <w:rFonts w:eastAsia="Arial" w:cs="Arial"/>
          <w:sz w:val="22"/>
          <w:szCs w:val="22"/>
        </w:rPr>
        <w:t xml:space="preserve">The Fair Work Ombudsman acknowledges that the trading conditions for some </w:t>
      </w:r>
      <w:r>
        <w:rPr>
          <w:rFonts w:eastAsia="Arial" w:cs="Arial"/>
          <w:sz w:val="22"/>
          <w:szCs w:val="22"/>
        </w:rPr>
        <w:t>outlet</w:t>
      </w:r>
      <w:r w:rsidRPr="00BE57AC">
        <w:rPr>
          <w:rFonts w:eastAsia="Arial" w:cs="Arial"/>
          <w:sz w:val="22"/>
          <w:szCs w:val="22"/>
        </w:rPr>
        <w:t xml:space="preserve">s have been tough due to a number of regional and economic influences.  </w:t>
      </w:r>
      <w:r>
        <w:rPr>
          <w:rFonts w:eastAsia="Arial" w:cs="Arial"/>
          <w:sz w:val="22"/>
          <w:szCs w:val="22"/>
        </w:rPr>
        <w:t xml:space="preserve">In agreeing to extended timeframes for </w:t>
      </w:r>
      <w:r w:rsidRPr="00BE57AC">
        <w:rPr>
          <w:rFonts w:eastAsia="Arial" w:cs="Arial"/>
          <w:sz w:val="22"/>
          <w:szCs w:val="22"/>
        </w:rPr>
        <w:t>wa</w:t>
      </w:r>
      <w:r>
        <w:rPr>
          <w:rFonts w:eastAsia="Arial" w:cs="Arial"/>
          <w:sz w:val="22"/>
          <w:szCs w:val="22"/>
        </w:rPr>
        <w:t>ges to be audited and rectified the impact of these influences are recognised,</w:t>
      </w:r>
      <w:r w:rsidRPr="00BE57AC">
        <w:rPr>
          <w:rFonts w:eastAsia="Arial" w:cs="Arial"/>
          <w:sz w:val="22"/>
          <w:szCs w:val="22"/>
        </w:rPr>
        <w:t xml:space="preserve"> </w:t>
      </w:r>
      <w:r>
        <w:rPr>
          <w:rFonts w:eastAsia="Arial" w:cs="Arial"/>
          <w:sz w:val="22"/>
          <w:szCs w:val="22"/>
        </w:rPr>
        <w:t xml:space="preserve">particularly because </w:t>
      </w:r>
      <w:r w:rsidRPr="00BE57AC">
        <w:rPr>
          <w:rFonts w:eastAsia="Arial" w:cs="Arial"/>
          <w:sz w:val="22"/>
          <w:szCs w:val="22"/>
        </w:rPr>
        <w:t xml:space="preserve">many of the franchisees can be considered ‘small business’, </w:t>
      </w:r>
    </w:p>
    <w:p w:rsidR="002C00B9" w:rsidRPr="00BE57AC" w:rsidRDefault="002C00B9" w:rsidP="00BE57AC">
      <w:pPr>
        <w:rPr>
          <w:rFonts w:eastAsia="Arial" w:cs="Arial"/>
          <w:sz w:val="22"/>
          <w:szCs w:val="22"/>
        </w:rPr>
      </w:pPr>
      <w:r w:rsidRPr="00BE57AC">
        <w:rPr>
          <w:rFonts w:eastAsia="Arial" w:cs="Arial"/>
          <w:sz w:val="22"/>
          <w:szCs w:val="22"/>
        </w:rPr>
        <w:t>In at least one instance, a franchisee took out a bank loan in order to be able to back pay employees.</w:t>
      </w:r>
    </w:p>
    <w:p w:rsidR="00601764" w:rsidRPr="00BE57AC" w:rsidRDefault="00601764" w:rsidP="00BE57AC">
      <w:pPr>
        <w:rPr>
          <w:rFonts w:eastAsia="Arial" w:cs="Arial"/>
          <w:sz w:val="22"/>
          <w:szCs w:val="22"/>
        </w:rPr>
      </w:pPr>
      <w:r w:rsidRPr="00BE57AC">
        <w:rPr>
          <w:rFonts w:eastAsia="Arial" w:cs="Arial"/>
          <w:sz w:val="22"/>
          <w:szCs w:val="22"/>
        </w:rPr>
        <w:t>Where former employees who were owed back pay could not be located, payment was made to the Commonwealth’s Receiver of Public Monies, with the wages held in trust for the workers in accordance with s</w:t>
      </w:r>
      <w:r w:rsidRPr="00651BEB">
        <w:rPr>
          <w:rFonts w:eastAsia="Arial" w:cs="Arial"/>
          <w:sz w:val="22"/>
          <w:szCs w:val="22"/>
        </w:rPr>
        <w:t xml:space="preserve">ection </w:t>
      </w:r>
      <w:r w:rsidRPr="00BE57AC">
        <w:rPr>
          <w:rFonts w:eastAsia="Arial" w:cs="Arial"/>
          <w:sz w:val="22"/>
          <w:szCs w:val="22"/>
        </w:rPr>
        <w:t>559 of the Act.</w:t>
      </w:r>
      <w:r w:rsidRPr="00BE57AC">
        <w:rPr>
          <w:rStyle w:val="FootnoteReference"/>
          <w:rFonts w:eastAsia="Arial" w:cs="Arial"/>
          <w:sz w:val="22"/>
          <w:szCs w:val="22"/>
        </w:rPr>
        <w:footnoteReference w:id="4"/>
      </w:r>
    </w:p>
    <w:p w:rsidR="00601764" w:rsidRDefault="00601764" w:rsidP="00BE57AC">
      <w:pPr>
        <w:rPr>
          <w:rFonts w:eastAsia="Arial" w:cs="Arial"/>
          <w:b/>
          <w:color w:val="548DD4"/>
          <w:sz w:val="28"/>
        </w:rPr>
      </w:pPr>
    </w:p>
    <w:p w:rsidR="00601764" w:rsidRPr="00651BEB" w:rsidRDefault="00601764" w:rsidP="00BE57AC">
      <w:pPr>
        <w:pStyle w:val="Heading1"/>
        <w:spacing w:before="360" w:after="240"/>
        <w:rPr>
          <w:rFonts w:eastAsia="Arial"/>
          <w:color w:val="548DD4"/>
        </w:rPr>
      </w:pPr>
      <w:bookmarkStart w:id="15" w:name="_Toc386631662"/>
      <w:r w:rsidRPr="00651BEB">
        <w:rPr>
          <w:rFonts w:eastAsia="Arial"/>
          <w:color w:val="548DD4"/>
        </w:rPr>
        <w:t>Conclusions</w:t>
      </w:r>
      <w:bookmarkEnd w:id="15"/>
    </w:p>
    <w:p w:rsidR="00601764" w:rsidRPr="00BE57AC" w:rsidRDefault="00601764" w:rsidP="002C00B9">
      <w:pPr>
        <w:tabs>
          <w:tab w:val="left" w:pos="2160"/>
        </w:tabs>
        <w:rPr>
          <w:rFonts w:eastAsia="Arial" w:cs="Arial"/>
          <w:sz w:val="22"/>
          <w:szCs w:val="22"/>
        </w:rPr>
      </w:pPr>
      <w:r w:rsidRPr="00BE57AC">
        <w:rPr>
          <w:rFonts w:eastAsia="Arial" w:cs="Arial"/>
          <w:sz w:val="22"/>
          <w:szCs w:val="22"/>
        </w:rPr>
        <w:t xml:space="preserve">The Proactive Compliance Deed has been successful in meeting its key objectives. </w:t>
      </w:r>
    </w:p>
    <w:p w:rsidR="00601764" w:rsidRPr="00BE57AC" w:rsidRDefault="00601764" w:rsidP="00BE57AC">
      <w:pPr>
        <w:tabs>
          <w:tab w:val="left" w:pos="2160"/>
        </w:tabs>
        <w:spacing w:before="240"/>
        <w:rPr>
          <w:rFonts w:eastAsia="Arial" w:cs="Arial"/>
          <w:sz w:val="22"/>
          <w:szCs w:val="22"/>
        </w:rPr>
      </w:pPr>
      <w:r w:rsidRPr="00BE57AC">
        <w:rPr>
          <w:rFonts w:eastAsia="Arial" w:cs="Arial"/>
          <w:sz w:val="22"/>
          <w:szCs w:val="22"/>
        </w:rPr>
        <w:t>The Fair Work Ombudsman commends Red Rooster and its franchisees for working with the Fair Work Ombudsman to ensure that employees have received the correct minimum entitlements.  The commitment by Red Rooster has been a great example of corporate leadership.</w:t>
      </w:r>
    </w:p>
    <w:p w:rsidR="00601764" w:rsidRPr="00BE57AC" w:rsidRDefault="00601764" w:rsidP="00BE57AC">
      <w:pPr>
        <w:tabs>
          <w:tab w:val="left" w:pos="2160"/>
        </w:tabs>
        <w:rPr>
          <w:rFonts w:eastAsia="Arial" w:cs="Arial"/>
          <w:sz w:val="22"/>
          <w:szCs w:val="22"/>
        </w:rPr>
      </w:pPr>
      <w:r w:rsidRPr="00BE57AC">
        <w:rPr>
          <w:rFonts w:eastAsia="Arial" w:cs="Arial"/>
          <w:sz w:val="22"/>
          <w:szCs w:val="22"/>
        </w:rPr>
        <w:t xml:space="preserve">The </w:t>
      </w:r>
      <w:r w:rsidRPr="00651BEB">
        <w:rPr>
          <w:rFonts w:eastAsia="Arial" w:cs="Arial"/>
          <w:sz w:val="22"/>
          <w:szCs w:val="22"/>
        </w:rPr>
        <w:t>circumstances that led to the employees being underpaid</w:t>
      </w:r>
      <w:r w:rsidRPr="00BE57AC">
        <w:rPr>
          <w:rFonts w:eastAsia="Arial" w:cs="Arial"/>
          <w:sz w:val="22"/>
          <w:szCs w:val="22"/>
        </w:rPr>
        <w:t xml:space="preserve"> highlight the importance of employers with agreements being aware that employees’ base rates of pay need to be at least equivalent to the modern award base rates that would otherwise apply.</w:t>
      </w:r>
    </w:p>
    <w:p w:rsidR="00601764" w:rsidRPr="00BE57AC" w:rsidRDefault="00601764" w:rsidP="00BE57AC">
      <w:pPr>
        <w:rPr>
          <w:rFonts w:eastAsia="Arial" w:cs="Arial"/>
          <w:sz w:val="22"/>
          <w:szCs w:val="22"/>
        </w:rPr>
      </w:pPr>
      <w:r w:rsidRPr="00BE57AC">
        <w:rPr>
          <w:rFonts w:eastAsia="Arial" w:cs="Arial"/>
          <w:sz w:val="22"/>
          <w:szCs w:val="22"/>
        </w:rPr>
        <w:t>The audit activity undertaken and the Fair Work Ombudsman’s dealings with Red Rooster through complaint resolution processes have failed to identify any other</w:t>
      </w:r>
      <w:r w:rsidRPr="00651BEB">
        <w:rPr>
          <w:rFonts w:eastAsia="Arial" w:cs="Arial"/>
          <w:sz w:val="22"/>
          <w:szCs w:val="22"/>
        </w:rPr>
        <w:t xml:space="preserve"> </w:t>
      </w:r>
      <w:r w:rsidRPr="00BE57AC">
        <w:rPr>
          <w:rFonts w:eastAsia="Arial" w:cs="Arial"/>
          <w:sz w:val="22"/>
          <w:szCs w:val="22"/>
        </w:rPr>
        <w:t>significant compliance issues, other than the underpayments that led to the Deed being entered into.</w:t>
      </w:r>
    </w:p>
    <w:p w:rsidR="00601764" w:rsidRPr="00651BEB" w:rsidRDefault="00601764" w:rsidP="002C2D16">
      <w:pPr>
        <w:rPr>
          <w:rFonts w:eastAsia="Arial" w:cs="Arial"/>
          <w:sz w:val="22"/>
          <w:szCs w:val="22"/>
        </w:rPr>
      </w:pPr>
      <w:r w:rsidRPr="00BE57AC">
        <w:rPr>
          <w:rFonts w:eastAsia="Arial" w:cs="Arial"/>
          <w:sz w:val="22"/>
          <w:szCs w:val="22"/>
        </w:rPr>
        <w:t>The Fair Work Ombudsman will continue to work with Red Rooster and its franchisees to ensure that remaining back payments are rectified and to identify opportunities to improve compliance.</w:t>
      </w:r>
    </w:p>
    <w:p w:rsidR="00601764" w:rsidRPr="00651BEB" w:rsidRDefault="00601764" w:rsidP="002C00B9">
      <w:pPr>
        <w:pStyle w:val="Heading1"/>
        <w:spacing w:before="480" w:after="360"/>
        <w:rPr>
          <w:rFonts w:eastAsia="Arial"/>
          <w:color w:val="548DD4"/>
        </w:rPr>
      </w:pPr>
      <w:bookmarkStart w:id="16" w:name="_Toc386631663"/>
      <w:r w:rsidRPr="00651BEB">
        <w:rPr>
          <w:rFonts w:eastAsia="Arial"/>
          <w:color w:val="548DD4"/>
        </w:rPr>
        <w:t>About the Fair Work Ombudsman</w:t>
      </w:r>
      <w:bookmarkEnd w:id="16"/>
    </w:p>
    <w:p w:rsidR="00601764" w:rsidRPr="00BC4D47" w:rsidRDefault="00601764" w:rsidP="00BE57AC">
      <w:pPr>
        <w:pStyle w:val="Default"/>
        <w:rPr>
          <w:sz w:val="22"/>
          <w:szCs w:val="22"/>
        </w:rPr>
      </w:pPr>
      <w:r w:rsidRPr="00BC4D47">
        <w:rPr>
          <w:sz w:val="22"/>
          <w:szCs w:val="22"/>
        </w:rPr>
        <w:t xml:space="preserve">The Fair Work Ombudsman is an independent statutory agency, created by </w:t>
      </w:r>
      <w:r w:rsidRPr="00BC4D47">
        <w:rPr>
          <w:iCs/>
          <w:sz w:val="22"/>
          <w:szCs w:val="22"/>
        </w:rPr>
        <w:t>the FW Act</w:t>
      </w:r>
      <w:r w:rsidRPr="00BC4D47">
        <w:rPr>
          <w:i/>
          <w:iCs/>
          <w:sz w:val="22"/>
          <w:szCs w:val="22"/>
        </w:rPr>
        <w:t xml:space="preserve"> </w:t>
      </w:r>
      <w:r w:rsidRPr="00BC4D47">
        <w:rPr>
          <w:sz w:val="22"/>
          <w:szCs w:val="22"/>
        </w:rPr>
        <w:t xml:space="preserve">on 1 July 2009.  </w:t>
      </w:r>
    </w:p>
    <w:p w:rsidR="00601764" w:rsidRPr="00BC4D47" w:rsidRDefault="00601764" w:rsidP="00BE57AC">
      <w:pPr>
        <w:pStyle w:val="Default"/>
        <w:spacing w:before="120" w:after="240"/>
        <w:rPr>
          <w:sz w:val="22"/>
          <w:szCs w:val="22"/>
        </w:rPr>
      </w:pPr>
      <w:r w:rsidRPr="00BC4D47">
        <w:rPr>
          <w:sz w:val="22"/>
          <w:szCs w:val="22"/>
        </w:rPr>
        <w:t xml:space="preserve">Our vision is fair Australian workplaces. We promote harmonious, productive and cooperative workplace relations and ensure compliance with Australia’s workplace laws, by: </w:t>
      </w:r>
    </w:p>
    <w:p w:rsidR="00601764" w:rsidRPr="00BC4D47" w:rsidRDefault="00601764" w:rsidP="00BC4D47">
      <w:pPr>
        <w:numPr>
          <w:ilvl w:val="0"/>
          <w:numId w:val="51"/>
        </w:numPr>
        <w:spacing w:line="276" w:lineRule="auto"/>
        <w:ind w:left="709" w:hanging="360"/>
        <w:rPr>
          <w:rFonts w:eastAsia="Arial" w:cs="Arial"/>
          <w:color w:val="000000"/>
          <w:sz w:val="22"/>
          <w:szCs w:val="22"/>
        </w:rPr>
      </w:pPr>
      <w:r w:rsidRPr="00BC4D47">
        <w:rPr>
          <w:rFonts w:eastAsia="Arial" w:cs="Arial"/>
          <w:color w:val="000000"/>
          <w:sz w:val="22"/>
          <w:szCs w:val="22"/>
        </w:rPr>
        <w:t>offering people a single point of contact for them to receive accurate and timely advice and information about Australia’s workplace relations system</w:t>
      </w:r>
    </w:p>
    <w:p w:rsidR="00601764" w:rsidRPr="00BC4D47" w:rsidRDefault="00601764" w:rsidP="00BC4D47">
      <w:pPr>
        <w:numPr>
          <w:ilvl w:val="0"/>
          <w:numId w:val="51"/>
        </w:numPr>
        <w:spacing w:line="276" w:lineRule="auto"/>
        <w:ind w:left="709" w:hanging="360"/>
        <w:rPr>
          <w:rFonts w:eastAsia="Arial" w:cs="Arial"/>
          <w:color w:val="000000"/>
          <w:sz w:val="22"/>
          <w:szCs w:val="22"/>
        </w:rPr>
      </w:pPr>
      <w:r w:rsidRPr="00BC4D47">
        <w:rPr>
          <w:rFonts w:eastAsia="Arial" w:cs="Arial"/>
          <w:color w:val="000000"/>
          <w:sz w:val="22"/>
          <w:szCs w:val="22"/>
        </w:rPr>
        <w:t>educating people working in Australia about their workplace rights and obligations</w:t>
      </w:r>
    </w:p>
    <w:p w:rsidR="00601764" w:rsidRPr="00BC4D47" w:rsidRDefault="00601764" w:rsidP="00BC4D47">
      <w:pPr>
        <w:numPr>
          <w:ilvl w:val="0"/>
          <w:numId w:val="51"/>
        </w:numPr>
        <w:spacing w:line="276" w:lineRule="auto"/>
        <w:ind w:left="709" w:hanging="360"/>
        <w:rPr>
          <w:rFonts w:eastAsia="Arial" w:cs="Arial"/>
          <w:color w:val="000000"/>
          <w:sz w:val="22"/>
          <w:szCs w:val="22"/>
        </w:rPr>
      </w:pPr>
      <w:r w:rsidRPr="00BC4D47">
        <w:rPr>
          <w:rFonts w:eastAsia="Arial" w:cs="Arial"/>
          <w:color w:val="000000"/>
          <w:sz w:val="22"/>
          <w:szCs w:val="22"/>
        </w:rPr>
        <w:t>monitoring compliance with, inquiring into and, investigating any act or practice that may be contrary to workplace laws, awards and agreements</w:t>
      </w:r>
    </w:p>
    <w:p w:rsidR="00601764" w:rsidRPr="00BC4D47" w:rsidRDefault="00601764" w:rsidP="00BC4D47">
      <w:pPr>
        <w:numPr>
          <w:ilvl w:val="0"/>
          <w:numId w:val="51"/>
        </w:numPr>
        <w:spacing w:line="276" w:lineRule="auto"/>
        <w:ind w:left="709" w:hanging="360"/>
        <w:rPr>
          <w:rFonts w:eastAsia="Arial" w:cs="Arial"/>
          <w:color w:val="000000"/>
          <w:sz w:val="22"/>
          <w:szCs w:val="22"/>
        </w:rPr>
      </w:pPr>
      <w:proofErr w:type="gramStart"/>
      <w:r w:rsidRPr="00BC4D47">
        <w:rPr>
          <w:rFonts w:eastAsia="Arial" w:cs="Arial"/>
          <w:color w:val="000000"/>
          <w:sz w:val="22"/>
          <w:szCs w:val="22"/>
        </w:rPr>
        <w:t>enforcing</w:t>
      </w:r>
      <w:proofErr w:type="gramEnd"/>
      <w:r w:rsidRPr="00BC4D47">
        <w:rPr>
          <w:rFonts w:eastAsia="Arial" w:cs="Arial"/>
          <w:color w:val="000000"/>
          <w:sz w:val="22"/>
          <w:szCs w:val="22"/>
        </w:rPr>
        <w:t xml:space="preserve"> workplace laws to deter people from not complying with their workplace responsibilities.</w:t>
      </w:r>
    </w:p>
    <w:p w:rsidR="00601764" w:rsidRPr="00BC4D47" w:rsidRDefault="00601764" w:rsidP="002C00B9">
      <w:pPr>
        <w:rPr>
          <w:rFonts w:eastAsia="Arial" w:cs="Arial"/>
          <w:sz w:val="22"/>
          <w:szCs w:val="22"/>
        </w:rPr>
      </w:pPr>
      <w:r w:rsidRPr="00BC4D47">
        <w:rPr>
          <w:rFonts w:eastAsia="Arial" w:cs="Arial"/>
          <w:sz w:val="22"/>
          <w:szCs w:val="22"/>
        </w:rPr>
        <w:t xml:space="preserve">The </w:t>
      </w:r>
      <w:r w:rsidRPr="00BC4D47">
        <w:rPr>
          <w:rFonts w:cs="Arial"/>
          <w:sz w:val="22"/>
          <w:szCs w:val="22"/>
        </w:rPr>
        <w:t>Fair Work Ombudsman</w:t>
      </w:r>
      <w:r w:rsidRPr="00BC4D47">
        <w:rPr>
          <w:rFonts w:eastAsia="Arial" w:cs="Arial"/>
          <w:sz w:val="22"/>
          <w:szCs w:val="22"/>
        </w:rPr>
        <w:t xml:space="preserve"> employs a number of strategies to achieve compliance with national workplace laws.  This includes entering into Proactive Compliance Deeds with employers.  A Proactive Compliance Deed (Deed) is an opportunity for businesses to work with the </w:t>
      </w:r>
      <w:r w:rsidRPr="00BC4D47">
        <w:rPr>
          <w:rFonts w:cs="Arial"/>
          <w:sz w:val="22"/>
          <w:szCs w:val="22"/>
        </w:rPr>
        <w:t>Fair Work Ombudsman</w:t>
      </w:r>
      <w:r w:rsidRPr="00BC4D47">
        <w:rPr>
          <w:rFonts w:eastAsia="Arial" w:cs="Arial"/>
          <w:sz w:val="22"/>
          <w:szCs w:val="22"/>
        </w:rPr>
        <w:t xml:space="preserve"> in a positive and constructive manner and achieve sustainable monitoring arrangements so as to demonstrate commitment to ‘fair Australian workplaces’.  </w:t>
      </w:r>
    </w:p>
    <w:p w:rsidR="00601764" w:rsidRPr="00BC4D47" w:rsidRDefault="00601764" w:rsidP="00BC4D47">
      <w:pPr>
        <w:rPr>
          <w:rFonts w:eastAsia="Arial" w:cs="Arial"/>
          <w:sz w:val="22"/>
          <w:szCs w:val="22"/>
        </w:rPr>
      </w:pPr>
      <w:r w:rsidRPr="00BC4D47">
        <w:rPr>
          <w:rFonts w:eastAsia="Arial" w:cs="Arial"/>
          <w:sz w:val="22"/>
          <w:szCs w:val="22"/>
        </w:rPr>
        <w:t xml:space="preserve">Employers may seek to enter into a Deed with the </w:t>
      </w:r>
      <w:r w:rsidRPr="00BC4D47">
        <w:rPr>
          <w:rFonts w:cs="Arial"/>
          <w:sz w:val="22"/>
          <w:szCs w:val="22"/>
        </w:rPr>
        <w:t>Fair Work Ombudsman</w:t>
      </w:r>
      <w:r w:rsidRPr="00BC4D47">
        <w:rPr>
          <w:rFonts w:eastAsia="Arial" w:cs="Arial"/>
          <w:sz w:val="22"/>
          <w:szCs w:val="22"/>
        </w:rPr>
        <w:t xml:space="preserve"> for a variety of reasons.  Some of these reasons include:</w:t>
      </w:r>
    </w:p>
    <w:p w:rsidR="00601764" w:rsidRPr="00BC4D47" w:rsidRDefault="00601764" w:rsidP="00BC4D47">
      <w:pPr>
        <w:numPr>
          <w:ilvl w:val="0"/>
          <w:numId w:val="51"/>
        </w:numPr>
        <w:spacing w:line="276" w:lineRule="auto"/>
        <w:ind w:left="709" w:hanging="360"/>
        <w:rPr>
          <w:rFonts w:eastAsia="Arial" w:cs="Arial"/>
          <w:color w:val="000000"/>
          <w:sz w:val="22"/>
          <w:szCs w:val="22"/>
        </w:rPr>
      </w:pPr>
      <w:r w:rsidRPr="00BC4D47">
        <w:rPr>
          <w:rFonts w:eastAsia="Arial" w:cs="Arial"/>
          <w:color w:val="000000"/>
          <w:sz w:val="22"/>
          <w:szCs w:val="22"/>
        </w:rPr>
        <w:t xml:space="preserve">ensuring its obligations under the Act are being met </w:t>
      </w:r>
    </w:p>
    <w:p w:rsidR="00601764" w:rsidRPr="00BC4D47" w:rsidRDefault="00601764" w:rsidP="00BC4D47">
      <w:pPr>
        <w:numPr>
          <w:ilvl w:val="0"/>
          <w:numId w:val="51"/>
        </w:numPr>
        <w:spacing w:line="276" w:lineRule="auto"/>
        <w:ind w:left="709" w:hanging="360"/>
        <w:rPr>
          <w:rFonts w:eastAsia="Arial" w:cs="Arial"/>
          <w:color w:val="000000"/>
          <w:sz w:val="22"/>
          <w:szCs w:val="22"/>
        </w:rPr>
      </w:pPr>
      <w:r w:rsidRPr="00BC4D47">
        <w:rPr>
          <w:rFonts w:eastAsia="Arial" w:cs="Arial"/>
          <w:color w:val="000000"/>
          <w:sz w:val="22"/>
          <w:szCs w:val="22"/>
        </w:rPr>
        <w:t xml:space="preserve">a method of identifying and minimising  business risks with respect to its employees </w:t>
      </w:r>
    </w:p>
    <w:p w:rsidR="00601764" w:rsidRPr="00BC4D47" w:rsidRDefault="00601764" w:rsidP="00BC4D47">
      <w:pPr>
        <w:numPr>
          <w:ilvl w:val="0"/>
          <w:numId w:val="51"/>
        </w:numPr>
        <w:spacing w:line="276" w:lineRule="auto"/>
        <w:ind w:left="709" w:hanging="360"/>
        <w:rPr>
          <w:rFonts w:eastAsia="Arial" w:cs="Arial"/>
          <w:color w:val="000000"/>
          <w:sz w:val="22"/>
          <w:szCs w:val="22"/>
        </w:rPr>
      </w:pPr>
      <w:r w:rsidRPr="00BC4D47">
        <w:rPr>
          <w:rFonts w:eastAsia="Arial" w:cs="Arial"/>
          <w:color w:val="000000"/>
          <w:sz w:val="22"/>
          <w:szCs w:val="22"/>
        </w:rPr>
        <w:t xml:space="preserve">to demonstrate that it is a </w:t>
      </w:r>
      <w:r w:rsidRPr="00BC4D47">
        <w:rPr>
          <w:rFonts w:eastAsia="Arial" w:cs="Arial"/>
          <w:b/>
          <w:color w:val="000000"/>
          <w:sz w:val="22"/>
          <w:szCs w:val="22"/>
        </w:rPr>
        <w:t>fair Australian workplace</w:t>
      </w:r>
      <w:r w:rsidRPr="00BC4D47">
        <w:rPr>
          <w:rFonts w:eastAsia="Arial" w:cs="Arial"/>
          <w:color w:val="000000"/>
          <w:sz w:val="22"/>
          <w:szCs w:val="22"/>
        </w:rPr>
        <w:t xml:space="preserve"> and potentially an employer of choice</w:t>
      </w:r>
    </w:p>
    <w:p w:rsidR="00601764" w:rsidRPr="00BC4D47" w:rsidRDefault="00601764" w:rsidP="00BC4D47">
      <w:pPr>
        <w:numPr>
          <w:ilvl w:val="0"/>
          <w:numId w:val="51"/>
        </w:numPr>
        <w:spacing w:line="276" w:lineRule="auto"/>
        <w:ind w:left="709" w:hanging="360"/>
        <w:rPr>
          <w:rFonts w:eastAsia="Arial" w:cs="Arial"/>
          <w:color w:val="000000"/>
          <w:sz w:val="22"/>
          <w:szCs w:val="22"/>
        </w:rPr>
      </w:pPr>
      <w:proofErr w:type="gramStart"/>
      <w:r w:rsidRPr="00BC4D47">
        <w:rPr>
          <w:rFonts w:eastAsia="Arial" w:cs="Arial"/>
          <w:color w:val="000000"/>
          <w:sz w:val="22"/>
          <w:szCs w:val="22"/>
        </w:rPr>
        <w:t>to</w:t>
      </w:r>
      <w:proofErr w:type="gramEnd"/>
      <w:r w:rsidRPr="00BC4D47">
        <w:rPr>
          <w:rFonts w:eastAsia="Arial" w:cs="Arial"/>
          <w:color w:val="000000"/>
          <w:sz w:val="22"/>
          <w:szCs w:val="22"/>
        </w:rPr>
        <w:t xml:space="preserve"> address potential areas of non-compliance with the Act. </w:t>
      </w:r>
    </w:p>
    <w:p w:rsidR="00601764" w:rsidRPr="00BC4D47" w:rsidRDefault="00601764" w:rsidP="00BC4D47">
      <w:pPr>
        <w:rPr>
          <w:rFonts w:eastAsia="Arial" w:cs="Arial"/>
          <w:sz w:val="22"/>
          <w:szCs w:val="22"/>
        </w:rPr>
      </w:pPr>
      <w:r w:rsidRPr="00BC4D47">
        <w:rPr>
          <w:rFonts w:eastAsia="Arial" w:cs="Arial"/>
          <w:sz w:val="22"/>
          <w:szCs w:val="22"/>
        </w:rPr>
        <w:t>A range of activities can be utilised to assist the business meet the intended outcomes of the Deed, for example, self-auditing of wages and record keeping, initiatives to engage with employees to improve compliance, and mutually beneficial improvements to employment and business outcomes by focussing on supply chain, brand and franchise relationships.</w:t>
      </w:r>
    </w:p>
    <w:p w:rsidR="00601764" w:rsidRPr="00BC4D47" w:rsidRDefault="00601764" w:rsidP="00BC4D47">
      <w:pPr>
        <w:spacing w:after="120"/>
        <w:rPr>
          <w:rFonts w:eastAsia="Arial" w:cs="Arial"/>
          <w:sz w:val="22"/>
          <w:szCs w:val="22"/>
        </w:rPr>
      </w:pPr>
      <w:r w:rsidRPr="00BC4D47">
        <w:rPr>
          <w:rFonts w:eastAsia="Arial" w:cs="Arial"/>
          <w:sz w:val="22"/>
          <w:szCs w:val="22"/>
        </w:rPr>
        <w:t xml:space="preserve">A business that enters into a Deed with the </w:t>
      </w:r>
      <w:r w:rsidRPr="00BC4D47">
        <w:rPr>
          <w:rFonts w:cs="Arial"/>
          <w:sz w:val="22"/>
          <w:szCs w:val="22"/>
        </w:rPr>
        <w:t>Fair Work Ombudsman</w:t>
      </w:r>
      <w:r w:rsidRPr="00BC4D47">
        <w:rPr>
          <w:rFonts w:eastAsia="Arial" w:cs="Arial"/>
          <w:sz w:val="22"/>
          <w:szCs w:val="22"/>
        </w:rPr>
        <w:t xml:space="preserve"> is assigned a dedicated Fair Work Officer who provides support and assistance to the business to ensure they are able to meet the outcomes of the Deed.</w:t>
      </w:r>
    </w:p>
    <w:p w:rsidR="00601764" w:rsidRPr="00BC4D47" w:rsidRDefault="00601764" w:rsidP="00BC4D47">
      <w:pPr>
        <w:spacing w:after="120"/>
        <w:rPr>
          <w:rFonts w:cs="Arial"/>
          <w:sz w:val="22"/>
          <w:szCs w:val="22"/>
        </w:rPr>
      </w:pPr>
      <w:r w:rsidRPr="00BC4D47">
        <w:rPr>
          <w:rFonts w:cs="Arial"/>
          <w:sz w:val="22"/>
          <w:szCs w:val="22"/>
        </w:rPr>
        <w:t>A publicly available report is published at the conclusion of each Deed.</w:t>
      </w:r>
    </w:p>
    <w:p w:rsidR="002C00B9" w:rsidRDefault="002C00B9" w:rsidP="00BC4D47">
      <w:pPr>
        <w:spacing w:after="120"/>
        <w:rPr>
          <w:rFonts w:cs="Arial"/>
          <w:sz w:val="22"/>
          <w:szCs w:val="22"/>
        </w:rPr>
      </w:pPr>
    </w:p>
    <w:p w:rsidR="00601764" w:rsidRPr="00BC4D47" w:rsidRDefault="00601764" w:rsidP="00BC4D47">
      <w:pPr>
        <w:spacing w:after="120"/>
        <w:rPr>
          <w:rFonts w:cs="Arial"/>
          <w:sz w:val="22"/>
          <w:szCs w:val="22"/>
        </w:rPr>
      </w:pPr>
      <w:r w:rsidRPr="00BC4D47">
        <w:rPr>
          <w:rFonts w:cs="Arial"/>
          <w:sz w:val="22"/>
          <w:szCs w:val="22"/>
        </w:rPr>
        <w:t>For further information and media enquiries please contact FWO media (</w:t>
      </w:r>
      <w:hyperlink r:id="rId9" w:history="1">
        <w:r w:rsidRPr="00BC4D47">
          <w:rPr>
            <w:rStyle w:val="Hyperlink"/>
            <w:rFonts w:cs="Arial"/>
            <w:sz w:val="22"/>
            <w:szCs w:val="22"/>
          </w:rPr>
          <w:t>media@fwo.gov.au</w:t>
        </w:r>
      </w:hyperlink>
      <w:r w:rsidRPr="00BC4D47">
        <w:rPr>
          <w:rFonts w:cs="Arial"/>
          <w:sz w:val="22"/>
          <w:szCs w:val="22"/>
        </w:rPr>
        <w:t xml:space="preserve">). </w:t>
      </w:r>
    </w:p>
    <w:p w:rsidR="00601764" w:rsidRPr="00BC4D47" w:rsidRDefault="00601764" w:rsidP="00BC4D47">
      <w:pPr>
        <w:rPr>
          <w:rFonts w:eastAsia="Arial" w:cs="Arial"/>
          <w:b/>
          <w:color w:val="548DD4"/>
          <w:sz w:val="22"/>
        </w:rPr>
      </w:pPr>
      <w:r w:rsidRPr="00BC4D47">
        <w:rPr>
          <w:rFonts w:eastAsia="Arial" w:cs="Arial"/>
          <w:color w:val="000000"/>
          <w:sz w:val="22"/>
          <w:szCs w:val="22"/>
        </w:rPr>
        <w:t xml:space="preserve">If you would like further information about the Fair Work Ombudsman’s Proactive Compliance Deeds please contact Steven </w:t>
      </w:r>
      <w:proofErr w:type="spellStart"/>
      <w:r w:rsidRPr="00BC4D47">
        <w:rPr>
          <w:rFonts w:eastAsia="Arial" w:cs="Arial"/>
          <w:color w:val="000000"/>
          <w:sz w:val="22"/>
          <w:szCs w:val="22"/>
        </w:rPr>
        <w:t>Ronson</w:t>
      </w:r>
      <w:proofErr w:type="spellEnd"/>
      <w:r w:rsidRPr="00BC4D47">
        <w:rPr>
          <w:rFonts w:eastAsia="Arial" w:cs="Arial"/>
          <w:color w:val="000000"/>
          <w:sz w:val="22"/>
          <w:szCs w:val="22"/>
        </w:rPr>
        <w:t>, Executive Director – Dispute Resolution and Compliance (</w:t>
      </w:r>
      <w:hyperlink r:id="rId10">
        <w:r w:rsidRPr="00BC4D47">
          <w:rPr>
            <w:rFonts w:eastAsia="Arial" w:cs="Arial"/>
            <w:color w:val="0000FF"/>
            <w:sz w:val="22"/>
            <w:szCs w:val="22"/>
            <w:u w:val="single"/>
          </w:rPr>
          <w:t>steven.ronson@fwo.gov.au</w:t>
        </w:r>
      </w:hyperlink>
      <w:r w:rsidRPr="00BC4D47">
        <w:rPr>
          <w:rFonts w:eastAsia="Arial" w:cs="Arial"/>
          <w:color w:val="000000"/>
          <w:sz w:val="22"/>
          <w:szCs w:val="22"/>
        </w:rPr>
        <w:t>).</w:t>
      </w:r>
    </w:p>
    <w:p w:rsidR="00601764" w:rsidRPr="00651BEB" w:rsidRDefault="00601764" w:rsidP="00D95284">
      <w:pPr>
        <w:pStyle w:val="Heading1"/>
        <w:spacing w:before="720" w:after="240"/>
        <w:rPr>
          <w:rFonts w:eastAsia="Arial"/>
          <w:color w:val="548DD4"/>
        </w:rPr>
      </w:pPr>
      <w:bookmarkStart w:id="17" w:name="_Toc386631664"/>
      <w:r w:rsidRPr="00651BEB">
        <w:rPr>
          <w:rFonts w:eastAsia="Arial"/>
          <w:color w:val="548DD4"/>
        </w:rPr>
        <w:t>Appendix A</w:t>
      </w:r>
      <w:bookmarkEnd w:id="17"/>
    </w:p>
    <w:p w:rsidR="00601764" w:rsidRDefault="007D7560">
      <w:r w:rsidRPr="007D7560">
        <w:rPr>
          <w:rFonts w:cs="Arial"/>
          <w:i/>
          <w:sz w:val="22"/>
          <w:szCs w:val="22"/>
          <w:lang w:val="en-US"/>
        </w:rPr>
        <w:t xml:space="preserve">Quick Service Restaurants Holdings Pty </w:t>
      </w:r>
      <w:proofErr w:type="spellStart"/>
      <w:r w:rsidRPr="007D7560">
        <w:rPr>
          <w:rFonts w:cs="Arial"/>
          <w:i/>
          <w:sz w:val="22"/>
          <w:szCs w:val="22"/>
          <w:lang w:val="en-US"/>
        </w:rPr>
        <w:t>Ltd’s</w:t>
      </w:r>
      <w:proofErr w:type="spellEnd"/>
      <w:r w:rsidRPr="007D7560">
        <w:rPr>
          <w:rFonts w:cs="Arial"/>
          <w:i/>
          <w:sz w:val="22"/>
          <w:szCs w:val="22"/>
          <w:lang w:val="en-US"/>
        </w:rPr>
        <w:t xml:space="preserve"> “Report on Proactive Compliance Deed between Red Rooster Foods Pty Ltd and the Commonwealth of Australia”</w:t>
      </w:r>
      <w:r>
        <w:rPr>
          <w:rFonts w:cs="Arial"/>
          <w:i/>
          <w:sz w:val="22"/>
          <w:szCs w:val="22"/>
          <w:lang w:val="en-US"/>
        </w:rPr>
        <w:t>, 19 June 2014</w:t>
      </w:r>
    </w:p>
    <w:p w:rsidR="00601764" w:rsidRPr="00601764" w:rsidRDefault="00601764" w:rsidP="00601764"/>
    <w:sectPr w:rsidR="00601764" w:rsidRPr="00601764" w:rsidSect="00BB25C4">
      <w:headerReference w:type="default" r:id="rId11"/>
      <w:footerReference w:type="even" r:id="rId12"/>
      <w:footerReference w:type="default" r:id="rId13"/>
      <w:headerReference w:type="first" r:id="rId14"/>
      <w:pgSz w:w="11907" w:h="16840" w:code="9"/>
      <w:pgMar w:top="1276" w:right="992" w:bottom="1440" w:left="1276" w:header="568" w:footer="89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B5" w:rsidRDefault="004058B5">
      <w:r>
        <w:separator/>
      </w:r>
    </w:p>
  </w:endnote>
  <w:endnote w:type="continuationSeparator" w:id="0">
    <w:p w:rsidR="004058B5" w:rsidRDefault="0040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2C2" w:rsidRDefault="00E402C2">
    <w:pPr>
      <w:framePr w:wrap="none" w:vAnchor="text" w:hAnchor="margin" w:xAlign="center" w:y="1"/>
    </w:pPr>
    <w:r>
      <w:fldChar w:fldCharType="begin"/>
    </w:r>
    <w:r>
      <w:instrText xml:space="preserve">PAGE  </w:instrText>
    </w:r>
    <w:r>
      <w:fldChar w:fldCharType="separate"/>
    </w:r>
    <w:r>
      <w:rPr>
        <w:noProof/>
      </w:rPr>
      <w:t>2</w:t>
    </w:r>
    <w:r>
      <w:fldChar w:fldCharType="end"/>
    </w:r>
  </w:p>
  <w:p w:rsidR="00E402C2" w:rsidRDefault="00E402C2">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7E" w:rsidRPr="00D048A5" w:rsidRDefault="009D5532" w:rsidP="00666A7E">
    <w:pPr>
      <w:pBdr>
        <w:top w:val="single" w:sz="4" w:space="1" w:color="auto"/>
      </w:pBdr>
      <w:tabs>
        <w:tab w:val="right" w:pos="9639"/>
      </w:tabs>
      <w:rPr>
        <w:sz w:val="18"/>
        <w:szCs w:val="18"/>
      </w:rPr>
    </w:pPr>
    <w:r>
      <w:rPr>
        <w:sz w:val="18"/>
        <w:szCs w:val="18"/>
        <w:lang w:val="en-US"/>
      </w:rPr>
      <w:t>Proactive Compliance Deed Final Report</w:t>
    </w:r>
    <w:r w:rsidR="00666A7E" w:rsidRPr="00D048A5">
      <w:rPr>
        <w:sz w:val="18"/>
        <w:szCs w:val="18"/>
      </w:rPr>
      <w:tab/>
    </w:r>
    <w:r w:rsidR="00666A7E" w:rsidRPr="00D048A5">
      <w:rPr>
        <w:sz w:val="18"/>
        <w:szCs w:val="18"/>
      </w:rPr>
      <w:fldChar w:fldCharType="begin"/>
    </w:r>
    <w:r w:rsidR="00666A7E" w:rsidRPr="00D048A5">
      <w:rPr>
        <w:sz w:val="18"/>
        <w:szCs w:val="18"/>
      </w:rPr>
      <w:instrText xml:space="preserve"> PAGE </w:instrText>
    </w:r>
    <w:r w:rsidR="00666A7E" w:rsidRPr="00D048A5">
      <w:rPr>
        <w:sz w:val="18"/>
        <w:szCs w:val="18"/>
      </w:rPr>
      <w:fldChar w:fldCharType="separate"/>
    </w:r>
    <w:r w:rsidR="0021407E">
      <w:rPr>
        <w:noProof/>
        <w:sz w:val="18"/>
        <w:szCs w:val="18"/>
      </w:rPr>
      <w:t>7</w:t>
    </w:r>
    <w:r w:rsidR="00666A7E" w:rsidRPr="00D048A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B5" w:rsidRDefault="004058B5">
      <w:r>
        <w:separator/>
      </w:r>
    </w:p>
  </w:footnote>
  <w:footnote w:type="continuationSeparator" w:id="0">
    <w:p w:rsidR="004058B5" w:rsidRDefault="004058B5">
      <w:r>
        <w:continuationSeparator/>
      </w:r>
    </w:p>
  </w:footnote>
  <w:footnote w:id="1">
    <w:p w:rsidR="00601764" w:rsidRPr="001959F7" w:rsidRDefault="00601764" w:rsidP="009633DF">
      <w:pPr>
        <w:pStyle w:val="FootnoteText"/>
        <w:rPr>
          <w:rFonts w:cs="Calibri"/>
        </w:rPr>
      </w:pPr>
      <w:r>
        <w:rPr>
          <w:rStyle w:val="FootnoteReference"/>
        </w:rPr>
        <w:footnoteRef/>
      </w:r>
      <w:r>
        <w:t xml:space="preserve"> As with most modern awards, the </w:t>
      </w:r>
      <w:r w:rsidRPr="001959F7">
        <w:rPr>
          <w:i/>
        </w:rPr>
        <w:t>Fast Food Industry Award 2010</w:t>
      </w:r>
      <w:r>
        <w:t xml:space="preserve"> contains transitional arrangements that</w:t>
      </w:r>
      <w:r w:rsidRPr="001959F7">
        <w:t xml:space="preserve"> </w:t>
      </w:r>
      <w:r w:rsidRPr="001959F7">
        <w:rPr>
          <w:rFonts w:cs="Calibri"/>
        </w:rPr>
        <w:t>give employers and employees time to adjust to changes to pay rates. These transitional arrangements provide for the gradual implementation of changes to pay rates over a four year period, to July 2014. As the transition is from different stat</w:t>
      </w:r>
      <w:r w:rsidR="002C00B9">
        <w:rPr>
          <w:rFonts w:cs="Calibri"/>
        </w:rPr>
        <w:t xml:space="preserve">e-based instruments, rates </w:t>
      </w:r>
      <w:r w:rsidRPr="001959F7">
        <w:rPr>
          <w:rFonts w:cs="Calibri"/>
        </w:rPr>
        <w:t>vary between states until the transition period is over.</w:t>
      </w:r>
    </w:p>
    <w:p w:rsidR="00601764" w:rsidRPr="001959F7" w:rsidRDefault="002C00B9" w:rsidP="009633DF">
      <w:pPr>
        <w:pStyle w:val="Default"/>
        <w:rPr>
          <w:rFonts w:ascii="Calibri" w:hAnsi="Calibri" w:cs="Calibri"/>
          <w:color w:val="auto"/>
          <w:sz w:val="20"/>
          <w:szCs w:val="20"/>
        </w:rPr>
      </w:pPr>
      <w:r>
        <w:rPr>
          <w:rFonts w:ascii="Calibri" w:hAnsi="Calibri" w:cs="Calibri"/>
          <w:sz w:val="20"/>
          <w:szCs w:val="20"/>
        </w:rPr>
        <w:t>(</w:t>
      </w:r>
      <w:r w:rsidR="00601764" w:rsidRPr="001959F7">
        <w:rPr>
          <w:rFonts w:ascii="Calibri" w:hAnsi="Calibri" w:cs="Calibri"/>
          <w:sz w:val="20"/>
          <w:szCs w:val="20"/>
        </w:rPr>
        <w:t xml:space="preserve">See section 206 of the </w:t>
      </w:r>
      <w:r w:rsidR="00601764" w:rsidRPr="001959F7">
        <w:rPr>
          <w:rFonts w:ascii="Calibri" w:hAnsi="Calibri" w:cs="Calibri"/>
          <w:i/>
          <w:iCs/>
          <w:sz w:val="20"/>
          <w:szCs w:val="20"/>
        </w:rPr>
        <w:t>Fair Work Act 2009,</w:t>
      </w:r>
      <w:r w:rsidR="00601764" w:rsidRPr="001959F7">
        <w:rPr>
          <w:rFonts w:ascii="Calibri" w:hAnsi="Calibri" w:cs="Calibri"/>
          <w:sz w:val="20"/>
          <w:szCs w:val="20"/>
        </w:rPr>
        <w:t xml:space="preserve"> </w:t>
      </w:r>
      <w:r w:rsidR="00601764">
        <w:rPr>
          <w:rFonts w:ascii="Calibri" w:hAnsi="Calibri" w:cs="Calibri"/>
          <w:sz w:val="20"/>
          <w:szCs w:val="20"/>
        </w:rPr>
        <w:t>I</w:t>
      </w:r>
      <w:r w:rsidR="00601764" w:rsidRPr="001959F7">
        <w:rPr>
          <w:rFonts w:ascii="Calibri" w:hAnsi="Calibri" w:cs="Calibri"/>
          <w:sz w:val="20"/>
          <w:szCs w:val="20"/>
        </w:rPr>
        <w:t xml:space="preserve">tem 3, Schedule 9 of the </w:t>
      </w:r>
      <w:r w:rsidR="00601764" w:rsidRPr="001959F7">
        <w:rPr>
          <w:rFonts w:ascii="Calibri" w:hAnsi="Calibri" w:cs="Calibri"/>
          <w:i/>
          <w:iCs/>
          <w:sz w:val="20"/>
          <w:szCs w:val="20"/>
        </w:rPr>
        <w:t xml:space="preserve">Fair Work (Transitional Provisions and </w:t>
      </w:r>
      <w:r w:rsidR="00601764" w:rsidRPr="002C00B9">
        <w:rPr>
          <w:rFonts w:ascii="Calibri" w:hAnsi="Calibri" w:cs="Calibri"/>
          <w:i/>
          <w:color w:val="auto"/>
          <w:sz w:val="20"/>
          <w:szCs w:val="20"/>
        </w:rPr>
        <w:t>Consequential Amendments) Act 2009</w:t>
      </w:r>
      <w:r w:rsidR="00601764" w:rsidRPr="001959F7">
        <w:rPr>
          <w:rFonts w:ascii="Calibri" w:hAnsi="Calibri" w:cs="Calibri"/>
          <w:color w:val="auto"/>
          <w:sz w:val="20"/>
          <w:szCs w:val="20"/>
        </w:rPr>
        <w:t xml:space="preserve"> and the Fair Work Ombudsman’s Guidance Note 7, ‘Transitional arrangements in modern awards</w:t>
      </w:r>
      <w:r w:rsidR="00601764">
        <w:rPr>
          <w:rFonts w:ascii="Calibri" w:hAnsi="Calibri" w:cs="Calibri"/>
          <w:color w:val="auto"/>
          <w:sz w:val="20"/>
          <w:szCs w:val="20"/>
        </w:rPr>
        <w:t>’.</w:t>
      </w:r>
      <w:r>
        <w:rPr>
          <w:rFonts w:ascii="Calibri" w:hAnsi="Calibri" w:cs="Calibri"/>
          <w:color w:val="auto"/>
          <w:sz w:val="20"/>
          <w:szCs w:val="20"/>
        </w:rPr>
        <w:t>)</w:t>
      </w:r>
    </w:p>
  </w:footnote>
  <w:footnote w:id="2">
    <w:p w:rsidR="00601764" w:rsidRDefault="00601764" w:rsidP="009633DF">
      <w:pPr>
        <w:pStyle w:val="FootnoteText"/>
      </w:pPr>
      <w:r>
        <w:rPr>
          <w:rStyle w:val="FootnoteReference"/>
        </w:rPr>
        <w:footnoteRef/>
      </w:r>
      <w:r>
        <w:t xml:space="preserve"> T</w:t>
      </w:r>
      <w:r w:rsidRPr="001C1ED0">
        <w:rPr>
          <w:rFonts w:cs="Calibri"/>
        </w:rPr>
        <w:t>hese businesses are covered by an enterprise award, not a modern award,</w:t>
      </w:r>
      <w:r>
        <w:rPr>
          <w:rFonts w:cs="Calibri"/>
        </w:rPr>
        <w:t xml:space="preserve"> therefore modern award rates did</w:t>
      </w:r>
      <w:r w:rsidRPr="001C1ED0">
        <w:rPr>
          <w:rFonts w:cs="Calibri"/>
        </w:rPr>
        <w:t xml:space="preserve"> not apply.</w:t>
      </w:r>
      <w:r>
        <w:rPr>
          <w:rFonts w:cs="Calibri"/>
        </w:rPr>
        <w:t xml:space="preserve"> Note: e</w:t>
      </w:r>
      <w:r w:rsidRPr="001C1ED0">
        <w:rPr>
          <w:rFonts w:cs="Calibri"/>
        </w:rPr>
        <w:t>nterprise awards cease</w:t>
      </w:r>
      <w:r>
        <w:rPr>
          <w:rFonts w:cs="Calibri"/>
        </w:rPr>
        <w:t>d</w:t>
      </w:r>
      <w:r w:rsidRPr="001C1ED0">
        <w:rPr>
          <w:rFonts w:cs="Calibri"/>
        </w:rPr>
        <w:t xml:space="preserve"> to operate from 1 January 2014, unless the Fair Work Commissio</w:t>
      </w:r>
      <w:r>
        <w:rPr>
          <w:rFonts w:cs="Calibri"/>
        </w:rPr>
        <w:t>n made</w:t>
      </w:r>
      <w:r w:rsidRPr="001C1ED0">
        <w:rPr>
          <w:rFonts w:cs="Calibri"/>
        </w:rPr>
        <w:t xml:space="preserve"> a modern enterprise award to replace the existing award.</w:t>
      </w:r>
    </w:p>
  </w:footnote>
  <w:footnote w:id="3">
    <w:p w:rsidR="002C00B9" w:rsidRPr="001C1ED0" w:rsidRDefault="002C00B9" w:rsidP="002C00B9">
      <w:pPr>
        <w:pStyle w:val="FootnoteText"/>
      </w:pPr>
      <w:r>
        <w:rPr>
          <w:rStyle w:val="FootnoteReference"/>
        </w:rPr>
        <w:footnoteRef/>
      </w:r>
      <w:r>
        <w:t xml:space="preserve"> The requirement for agreement-covered employees to be paid at least award-equivalent rates was first introduced in March 2006, however this requirement only applied to agreements made from that time onwards, so did not impact on the </w:t>
      </w:r>
      <w:r>
        <w:rPr>
          <w:i/>
        </w:rPr>
        <w:t>Red Rooster Agreement 2003</w:t>
      </w:r>
      <w:r>
        <w:t>.</w:t>
      </w:r>
    </w:p>
  </w:footnote>
  <w:footnote w:id="4">
    <w:p w:rsidR="00601764" w:rsidRPr="009746E0" w:rsidRDefault="00601764" w:rsidP="008F70FE">
      <w:pPr>
        <w:pStyle w:val="FootnoteText"/>
      </w:pPr>
      <w:r>
        <w:rPr>
          <w:rStyle w:val="FootnoteReference"/>
        </w:rPr>
        <w:footnoteRef/>
      </w:r>
      <w:r>
        <w:t xml:space="preserve"> Where wages are made to </w:t>
      </w:r>
      <w:r w:rsidRPr="00651BEB">
        <w:rPr>
          <w:rFonts w:cs="Calibri"/>
        </w:rPr>
        <w:t xml:space="preserve">the Commonwealth, employees’ details are added to the </w:t>
      </w:r>
      <w:r w:rsidRPr="00651BEB">
        <w:rPr>
          <w:rFonts w:eastAsia="Arial" w:cs="Calibri"/>
        </w:rPr>
        <w:t xml:space="preserve">“Search for Unpaid Wages” facility at </w:t>
      </w:r>
      <w:hyperlink r:id="rId1" w:tooltip="Fair Work Ombudsman website" w:history="1">
        <w:r w:rsidRPr="00651BEB">
          <w:rPr>
            <w:rStyle w:val="Hyperlink"/>
            <w:rFonts w:eastAsia="Arial" w:cs="Calibri"/>
          </w:rPr>
          <w:t>www.fairwork.gov.au/resources</w:t>
        </w:r>
      </w:hyperlink>
      <w:r w:rsidRPr="00651BEB">
        <w:rPr>
          <w:rFonts w:eastAsia="Arial" w:cs="Calibri"/>
        </w:rPr>
        <w:t>.</w:t>
      </w:r>
    </w:p>
    <w:p w:rsidR="00601764" w:rsidRDefault="00601764" w:rsidP="008F70F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C4" w:rsidRDefault="00BB25C4" w:rsidP="00736C10">
    <w:pPr>
      <w:pBdr>
        <w:bottom w:val="single" w:sz="4" w:space="1" w:color="auto"/>
      </w:pBdr>
      <w:tabs>
        <w:tab w:val="right" w:pos="9639"/>
      </w:tabs>
    </w:pPr>
    <w:r>
      <w:tab/>
    </w:r>
    <w:r w:rsidR="009D5532">
      <w:t>Fair Work Ombudsman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E0" w:rsidRPr="00451CB0" w:rsidRDefault="0021407E" w:rsidP="00451CB0">
    <w:pPr>
      <w:pStyle w:val="Header"/>
    </w:pPr>
    <w:bookmarkStart w:id="18" w:name="_GoBack"/>
    <w:r>
      <w:rPr>
        <w:noProof/>
        <w:lang w:eastAsia="en-AU"/>
      </w:rPr>
      <w:drawing>
        <wp:anchor distT="0" distB="0" distL="114300" distR="114300" simplePos="0" relativeHeight="251657728" behindDoc="1" locked="0" layoutInCell="1" allowOverlap="1">
          <wp:simplePos x="0" y="0"/>
          <wp:positionH relativeFrom="column">
            <wp:posOffset>-918845</wp:posOffset>
          </wp:positionH>
          <wp:positionV relativeFrom="paragraph">
            <wp:posOffset>-523875</wp:posOffset>
          </wp:positionV>
          <wp:extent cx="7724140" cy="10924540"/>
          <wp:effectExtent l="0" t="0" r="0" b="0"/>
          <wp:wrapNone/>
          <wp:docPr id="34" name="Picture 34" descr="secondry graphic port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condry graphic port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140" cy="10924540"/>
                  </a:xfrm>
                  <a:prstGeom prst="rect">
                    <a:avLst/>
                  </a:prstGeom>
                  <a:noFill/>
                </pic:spPr>
              </pic:pic>
            </a:graphicData>
          </a:graphic>
          <wp14:sizeRelH relativeFrom="page">
            <wp14:pctWidth>0</wp14:pctWidth>
          </wp14:sizeRelH>
          <wp14:sizeRelV relativeFrom="page">
            <wp14:pctHeight>0</wp14:pctHeight>
          </wp14:sizeRelV>
        </wp:anchor>
      </w:drawing>
    </w:r>
    <w:bookmarkEnd w:id="1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A4A7E2"/>
    <w:lvl w:ilvl="0">
      <w:start w:val="1"/>
      <w:numFmt w:val="decimal"/>
      <w:lvlText w:val="%1."/>
      <w:lvlJc w:val="left"/>
      <w:pPr>
        <w:tabs>
          <w:tab w:val="num" w:pos="2433"/>
        </w:tabs>
        <w:ind w:left="2433" w:hanging="360"/>
      </w:pPr>
    </w:lvl>
  </w:abstractNum>
  <w:abstractNum w:abstractNumId="1">
    <w:nsid w:val="FFFFFF7D"/>
    <w:multiLevelType w:val="singleLevel"/>
    <w:tmpl w:val="415259EC"/>
    <w:lvl w:ilvl="0">
      <w:start w:val="1"/>
      <w:numFmt w:val="decimal"/>
      <w:lvlText w:val="%1."/>
      <w:lvlJc w:val="left"/>
      <w:pPr>
        <w:tabs>
          <w:tab w:val="num" w:pos="1440"/>
        </w:tabs>
        <w:ind w:left="1440" w:hanging="360"/>
      </w:pPr>
    </w:lvl>
  </w:abstractNum>
  <w:abstractNum w:abstractNumId="2">
    <w:nsid w:val="FFFFFF7E"/>
    <w:multiLevelType w:val="singleLevel"/>
    <w:tmpl w:val="7FDA2D92"/>
    <w:lvl w:ilvl="0">
      <w:start w:val="1"/>
      <w:numFmt w:val="decimal"/>
      <w:lvlText w:val="%1."/>
      <w:lvlJc w:val="left"/>
      <w:pPr>
        <w:tabs>
          <w:tab w:val="num" w:pos="1080"/>
        </w:tabs>
        <w:ind w:left="1080" w:hanging="360"/>
      </w:pPr>
    </w:lvl>
  </w:abstractNum>
  <w:abstractNum w:abstractNumId="3">
    <w:nsid w:val="FFFFFF7F"/>
    <w:multiLevelType w:val="singleLevel"/>
    <w:tmpl w:val="8A7880CE"/>
    <w:lvl w:ilvl="0">
      <w:start w:val="1"/>
      <w:numFmt w:val="decimal"/>
      <w:lvlText w:val="%1."/>
      <w:lvlJc w:val="left"/>
      <w:pPr>
        <w:tabs>
          <w:tab w:val="num" w:pos="720"/>
        </w:tabs>
        <w:ind w:left="720" w:hanging="360"/>
      </w:pPr>
    </w:lvl>
  </w:abstractNum>
  <w:abstractNum w:abstractNumId="4">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EC1B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0C0AE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7EC4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C61168"/>
    <w:lvl w:ilvl="0">
      <w:start w:val="1"/>
      <w:numFmt w:val="decimal"/>
      <w:lvlText w:val="%1."/>
      <w:lvlJc w:val="left"/>
      <w:pPr>
        <w:tabs>
          <w:tab w:val="num" w:pos="360"/>
        </w:tabs>
        <w:ind w:left="360" w:hanging="360"/>
      </w:pPr>
    </w:lvl>
  </w:abstractNum>
  <w:abstractNum w:abstractNumId="9">
    <w:nsid w:val="FFFFFF89"/>
    <w:multiLevelType w:val="singleLevel"/>
    <w:tmpl w:val="6234ECC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00D63B1A"/>
    <w:multiLevelType w:val="hybridMultilevel"/>
    <w:tmpl w:val="556A166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01623136"/>
    <w:multiLevelType w:val="multilevel"/>
    <w:tmpl w:val="667C3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F4103F"/>
    <w:multiLevelType w:val="hybridMultilevel"/>
    <w:tmpl w:val="C04CD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5">
    <w:nsid w:val="173B73D6"/>
    <w:multiLevelType w:val="hybridMultilevel"/>
    <w:tmpl w:val="E16CA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81D3A41"/>
    <w:multiLevelType w:val="multilevel"/>
    <w:tmpl w:val="C12C4F40"/>
    <w:lvl w:ilvl="0">
      <w:start w:val="1"/>
      <w:numFmt w:val="decimal"/>
      <w:lvlText w:val="%1"/>
      <w:lvlJc w:val="left"/>
      <w:pPr>
        <w:tabs>
          <w:tab w:val="num" w:pos="552"/>
        </w:tabs>
        <w:ind w:left="552" w:hanging="432"/>
      </w:pPr>
    </w:lvl>
    <w:lvl w:ilvl="1">
      <w:start w:val="1"/>
      <w:numFmt w:val="decimal"/>
      <w:lvlText w:val="%1.%2"/>
      <w:lvlJc w:val="left"/>
      <w:pPr>
        <w:tabs>
          <w:tab w:val="num" w:pos="696"/>
        </w:tabs>
        <w:ind w:left="696" w:hanging="576"/>
      </w:pPr>
    </w:lvl>
    <w:lvl w:ilvl="2">
      <w:start w:val="1"/>
      <w:numFmt w:val="decimal"/>
      <w:lvlText w:val="%1.%2.%3"/>
      <w:lvlJc w:val="left"/>
      <w:pPr>
        <w:tabs>
          <w:tab w:val="num" w:pos="840"/>
        </w:tabs>
        <w:ind w:left="840" w:hanging="720"/>
      </w:pPr>
    </w:lvl>
    <w:lvl w:ilvl="3">
      <w:start w:val="1"/>
      <w:numFmt w:val="decimal"/>
      <w:lvlText w:val="%1.%2.%3.%4"/>
      <w:lvlJc w:val="left"/>
      <w:pPr>
        <w:tabs>
          <w:tab w:val="num" w:pos="984"/>
        </w:tabs>
        <w:ind w:left="984" w:hanging="864"/>
      </w:pPr>
    </w:lvl>
    <w:lvl w:ilvl="4">
      <w:start w:val="1"/>
      <w:numFmt w:val="decimal"/>
      <w:lvlText w:val="%1.%2.%3.%4.%5"/>
      <w:lvlJc w:val="left"/>
      <w:pPr>
        <w:tabs>
          <w:tab w:val="num" w:pos="1128"/>
        </w:tabs>
        <w:ind w:left="1128" w:hanging="1008"/>
      </w:pPr>
    </w:lvl>
    <w:lvl w:ilvl="5">
      <w:start w:val="1"/>
      <w:numFmt w:val="decimal"/>
      <w:lvlText w:val="%1.%2.%3.%4.%5.%6"/>
      <w:lvlJc w:val="left"/>
      <w:pPr>
        <w:tabs>
          <w:tab w:val="num" w:pos="1272"/>
        </w:tabs>
        <w:ind w:left="1272" w:hanging="1152"/>
      </w:pPr>
    </w:lvl>
    <w:lvl w:ilvl="6">
      <w:start w:val="1"/>
      <w:numFmt w:val="decimal"/>
      <w:lvlText w:val="%1.%2.%3.%4.%5.%6.%7"/>
      <w:lvlJc w:val="left"/>
      <w:pPr>
        <w:tabs>
          <w:tab w:val="num" w:pos="1416"/>
        </w:tabs>
        <w:ind w:left="1416" w:hanging="1296"/>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704"/>
        </w:tabs>
        <w:ind w:left="1704" w:hanging="1584"/>
      </w:pPr>
    </w:lvl>
  </w:abstractNum>
  <w:abstractNum w:abstractNumId="17">
    <w:nsid w:val="19754DDC"/>
    <w:multiLevelType w:val="singleLevel"/>
    <w:tmpl w:val="6DCCA5CE"/>
    <w:lvl w:ilvl="0">
      <w:start w:val="1"/>
      <w:numFmt w:val="none"/>
      <w:lvlText w:val=""/>
      <w:legacy w:legacy="1" w:legacySpace="0" w:legacyIndent="0"/>
      <w:lvlJc w:val="left"/>
    </w:lvl>
  </w:abstractNum>
  <w:abstractNum w:abstractNumId="18">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cs="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cs="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cs="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9">
    <w:nsid w:val="27C86DB2"/>
    <w:multiLevelType w:val="hybridMultilevel"/>
    <w:tmpl w:val="338E2520"/>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0">
    <w:nsid w:val="29EE49EF"/>
    <w:multiLevelType w:val="hybridMultilevel"/>
    <w:tmpl w:val="4E1CF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A3030A1"/>
    <w:multiLevelType w:val="singleLevel"/>
    <w:tmpl w:val="6DCCA5CE"/>
    <w:lvl w:ilvl="0">
      <w:start w:val="1"/>
      <w:numFmt w:val="none"/>
      <w:lvlText w:val=""/>
      <w:legacy w:legacy="1" w:legacySpace="0" w:legacyIndent="0"/>
      <w:lvlJc w:val="left"/>
    </w:lvl>
  </w:abstractNum>
  <w:abstractNum w:abstractNumId="22">
    <w:nsid w:val="2D9E4A94"/>
    <w:multiLevelType w:val="singleLevel"/>
    <w:tmpl w:val="6DCCA5CE"/>
    <w:lvl w:ilvl="0">
      <w:start w:val="1"/>
      <w:numFmt w:val="none"/>
      <w:lvlText w:val=""/>
      <w:legacy w:legacy="1" w:legacySpace="0" w:legacyIndent="0"/>
      <w:lvlJc w:val="left"/>
    </w:lvl>
  </w:abstractNum>
  <w:abstractNum w:abstractNumId="23">
    <w:nsid w:val="40152EAB"/>
    <w:multiLevelType w:val="singleLevel"/>
    <w:tmpl w:val="2034CD5C"/>
    <w:lvl w:ilvl="0">
      <w:numFmt w:val="decimal"/>
      <w:lvlText w:val="*"/>
      <w:lvlJc w:val="left"/>
    </w:lvl>
  </w:abstractNum>
  <w:abstractNum w:abstractNumId="24">
    <w:nsid w:val="46B310A4"/>
    <w:multiLevelType w:val="singleLevel"/>
    <w:tmpl w:val="6DCCA5CE"/>
    <w:lvl w:ilvl="0">
      <w:start w:val="1"/>
      <w:numFmt w:val="none"/>
      <w:lvlText w:val=""/>
      <w:legacy w:legacy="1" w:legacySpace="0" w:legacyIndent="0"/>
      <w:lvlJc w:val="left"/>
    </w:lvl>
  </w:abstractNum>
  <w:abstractNum w:abstractNumId="25">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6">
    <w:nsid w:val="47C928F1"/>
    <w:multiLevelType w:val="multilevel"/>
    <w:tmpl w:val="BE22CD2E"/>
    <w:lvl w:ilvl="0">
      <w:start w:val="1"/>
      <w:numFmt w:val="decimal"/>
      <w:lvlText w:val="%1."/>
      <w:lvlJc w:val="left"/>
      <w:pPr>
        <w:ind w:left="360" w:hanging="360"/>
      </w:pPr>
      <w:rPr>
        <w:rFonts w:hint="default"/>
        <w:color w:val="548DD4"/>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4B170563"/>
    <w:multiLevelType w:val="singleLevel"/>
    <w:tmpl w:val="4A84109C"/>
    <w:lvl w:ilvl="0">
      <w:start w:val="1"/>
      <w:numFmt w:val="bullet"/>
      <w:lvlText w:val=""/>
      <w:lvlJc w:val="left"/>
      <w:pPr>
        <w:tabs>
          <w:tab w:val="num" w:pos="1440"/>
        </w:tabs>
        <w:ind w:left="1440" w:hanging="360"/>
      </w:pPr>
      <w:rPr>
        <w:rFonts w:ascii="Wingdings" w:hAnsi="Wingdings" w:hint="default"/>
        <w:sz w:val="16"/>
      </w:rPr>
    </w:lvl>
  </w:abstractNum>
  <w:abstractNum w:abstractNumId="28">
    <w:nsid w:val="511842FE"/>
    <w:multiLevelType w:val="multilevel"/>
    <w:tmpl w:val="ECB0C802"/>
    <w:lvl w:ilvl="0">
      <w:start w:val="1"/>
      <w:numFmt w:val="decimal"/>
      <w:lvlText w:val="%1"/>
      <w:lvlJc w:val="left"/>
      <w:pPr>
        <w:tabs>
          <w:tab w:val="num" w:pos="2422"/>
        </w:tabs>
        <w:ind w:left="2422" w:hanging="720"/>
      </w:pPr>
      <w:rPr>
        <w:rFonts w:hint="default"/>
      </w:rPr>
    </w:lvl>
    <w:lvl w:ilvl="1">
      <w:start w:val="1"/>
      <w:numFmt w:val="decimal"/>
      <w:lvlText w:val="%1.%2"/>
      <w:lvlJc w:val="left"/>
      <w:pPr>
        <w:tabs>
          <w:tab w:val="num" w:pos="696"/>
        </w:tabs>
        <w:ind w:left="696" w:hanging="576"/>
      </w:pPr>
    </w:lvl>
    <w:lvl w:ilvl="2">
      <w:start w:val="1"/>
      <w:numFmt w:val="decimal"/>
      <w:lvlText w:val="%1.%2.%3"/>
      <w:lvlJc w:val="left"/>
      <w:pPr>
        <w:tabs>
          <w:tab w:val="num" w:pos="840"/>
        </w:tabs>
        <w:ind w:left="840" w:hanging="720"/>
      </w:pPr>
    </w:lvl>
    <w:lvl w:ilvl="3">
      <w:start w:val="1"/>
      <w:numFmt w:val="decimal"/>
      <w:lvlText w:val="%1.%2.%3.%4"/>
      <w:lvlJc w:val="left"/>
      <w:pPr>
        <w:tabs>
          <w:tab w:val="num" w:pos="984"/>
        </w:tabs>
        <w:ind w:left="984" w:hanging="864"/>
      </w:pPr>
    </w:lvl>
    <w:lvl w:ilvl="4">
      <w:start w:val="1"/>
      <w:numFmt w:val="decimal"/>
      <w:lvlText w:val="%1.%2.%3.%4.%5"/>
      <w:lvlJc w:val="left"/>
      <w:pPr>
        <w:tabs>
          <w:tab w:val="num" w:pos="1128"/>
        </w:tabs>
        <w:ind w:left="1128" w:hanging="1008"/>
      </w:pPr>
    </w:lvl>
    <w:lvl w:ilvl="5">
      <w:start w:val="1"/>
      <w:numFmt w:val="decimal"/>
      <w:lvlText w:val="%1.%2.%3.%4.%5.%6"/>
      <w:lvlJc w:val="left"/>
      <w:pPr>
        <w:tabs>
          <w:tab w:val="num" w:pos="1272"/>
        </w:tabs>
        <w:ind w:left="1272" w:hanging="1152"/>
      </w:pPr>
    </w:lvl>
    <w:lvl w:ilvl="6">
      <w:start w:val="1"/>
      <w:numFmt w:val="decimal"/>
      <w:lvlText w:val="%1.%2.%3.%4.%5.%6.%7"/>
      <w:lvlJc w:val="left"/>
      <w:pPr>
        <w:tabs>
          <w:tab w:val="num" w:pos="1416"/>
        </w:tabs>
        <w:ind w:left="1416" w:hanging="1296"/>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704"/>
        </w:tabs>
        <w:ind w:left="1704" w:hanging="1584"/>
      </w:pPr>
    </w:lvl>
  </w:abstractNum>
  <w:abstractNum w:abstractNumId="29">
    <w:nsid w:val="54CB3DAD"/>
    <w:multiLevelType w:val="hybridMultilevel"/>
    <w:tmpl w:val="53DA4842"/>
    <w:lvl w:ilvl="0" w:tplc="9166A31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559913A9"/>
    <w:multiLevelType w:val="singleLevel"/>
    <w:tmpl w:val="25407178"/>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31">
    <w:nsid w:val="565A04D3"/>
    <w:multiLevelType w:val="multilevel"/>
    <w:tmpl w:val="BD24C16A"/>
    <w:lvl w:ilvl="0">
      <w:start w:val="1"/>
      <w:numFmt w:val="decimal"/>
      <w:pStyle w:val="Heading1"/>
      <w:lvlText w:val="%1:"/>
      <w:lvlJc w:val="left"/>
      <w:pPr>
        <w:tabs>
          <w:tab w:val="num" w:pos="720"/>
        </w:tabs>
        <w:ind w:left="720" w:hanging="720"/>
      </w:pPr>
      <w:rPr>
        <w:rFonts w:hint="default"/>
        <w:sz w:val="28"/>
        <w:szCs w:val="28"/>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CBE216E"/>
    <w:multiLevelType w:val="singleLevel"/>
    <w:tmpl w:val="6DCCA5CE"/>
    <w:lvl w:ilvl="0">
      <w:start w:val="1"/>
      <w:numFmt w:val="none"/>
      <w:lvlText w:val=""/>
      <w:legacy w:legacy="1" w:legacySpace="0" w:legacyIndent="0"/>
      <w:lvlJc w:val="left"/>
    </w:lvl>
  </w:abstractNum>
  <w:abstractNum w:abstractNumId="33">
    <w:nsid w:val="5FC31285"/>
    <w:multiLevelType w:val="hybridMultilevel"/>
    <w:tmpl w:val="672A36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5">
    <w:nsid w:val="6AA2059D"/>
    <w:multiLevelType w:val="multilevel"/>
    <w:tmpl w:val="FCF860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E76003D"/>
    <w:multiLevelType w:val="singleLevel"/>
    <w:tmpl w:val="BDF4B83C"/>
    <w:lvl w:ilvl="0">
      <w:numFmt w:val="decimal"/>
      <w:lvlText w:val="*"/>
      <w:lvlJc w:val="left"/>
    </w:lvl>
  </w:abstractNum>
  <w:abstractNum w:abstractNumId="37">
    <w:nsid w:val="771C4F1B"/>
    <w:multiLevelType w:val="hybridMultilevel"/>
    <w:tmpl w:val="1D547674"/>
    <w:lvl w:ilvl="0" w:tplc="0C09000F">
      <w:start w:val="1"/>
      <w:numFmt w:val="bullet"/>
      <w:lvlText w:val=""/>
      <w:lvlJc w:val="left"/>
      <w:pPr>
        <w:tabs>
          <w:tab w:val="num" w:pos="567"/>
        </w:tabs>
        <w:ind w:left="567" w:hanging="283"/>
      </w:pPr>
      <w:rPr>
        <w:rFonts w:ascii="Symbol" w:hAnsi="Symbol" w:hint="default"/>
      </w:rPr>
    </w:lvl>
    <w:lvl w:ilvl="1" w:tplc="DF5C8052">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30"/>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25"/>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32"/>
  </w:num>
  <w:num w:numId="18">
    <w:abstractNumId w:val="14"/>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30"/>
    <w:lvlOverride w:ilvl="0">
      <w:lvl w:ilvl="0">
        <w:start w:val="1"/>
        <w:numFmt w:val="decimal"/>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3">
    <w:abstractNumId w:val="23"/>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36"/>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24"/>
  </w:num>
  <w:num w:numId="26">
    <w:abstractNumId w:val="22"/>
  </w:num>
  <w:num w:numId="27">
    <w:abstractNumId w:val="21"/>
  </w:num>
  <w:num w:numId="28">
    <w:abstractNumId w:val="38"/>
  </w:num>
  <w:num w:numId="29">
    <w:abstractNumId w:val="17"/>
  </w:num>
  <w:num w:numId="30">
    <w:abstractNumId w:val="31"/>
  </w:num>
  <w:num w:numId="31">
    <w:abstractNumId w:val="11"/>
  </w:num>
  <w:num w:numId="32">
    <w:abstractNumId w:val="19"/>
  </w:num>
  <w:num w:numId="33">
    <w:abstractNumId w:val="33"/>
  </w:num>
  <w:num w:numId="34">
    <w:abstractNumId w:val="16"/>
  </w:num>
  <w:num w:numId="35">
    <w:abstractNumId w:val="31"/>
    <w:lvlOverride w:ilvl="0">
      <w:startOverride w:val="1"/>
    </w:lvlOverride>
  </w:num>
  <w:num w:numId="36">
    <w:abstractNumId w:val="20"/>
  </w:num>
  <w:num w:numId="37">
    <w:abstractNumId w:val="29"/>
  </w:num>
  <w:num w:numId="38">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9">
    <w:abstractNumId w:val="18"/>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28"/>
  </w:num>
  <w:num w:numId="48">
    <w:abstractNumId w:val="37"/>
  </w:num>
  <w:num w:numId="49">
    <w:abstractNumId w:val="34"/>
  </w:num>
  <w:num w:numId="50">
    <w:abstractNumId w:val="37"/>
  </w:num>
  <w:num w:numId="51">
    <w:abstractNumId w:val="12"/>
  </w:num>
  <w:num w:numId="52">
    <w:abstractNumId w:val="26"/>
  </w:num>
  <w:num w:numId="53">
    <w:abstractNumId w:val="15"/>
  </w:num>
  <w:num w:numId="54">
    <w:abstractNumId w:val="13"/>
  </w:num>
  <w:num w:numId="55">
    <w:abstractNumId w:val="35"/>
  </w:num>
  <w:num w:numId="56">
    <w:abstractNumId w:val="31"/>
  </w:num>
  <w:num w:numId="57">
    <w:abstractNumId w:val="31"/>
  </w:num>
  <w:num w:numId="58">
    <w:abstractNumId w:val="31"/>
  </w:num>
  <w:num w:numId="59">
    <w:abstractNumId w:val="31"/>
  </w:num>
  <w:num w:numId="60">
    <w:abstractNumId w:val="31"/>
  </w:num>
  <w:num w:numId="61">
    <w:abstractNumId w:val="31"/>
  </w:num>
  <w:num w:numId="62">
    <w:abstractNumId w:val="31"/>
  </w:num>
  <w:num w:numId="63">
    <w:abstractNumId w:val="31"/>
  </w:num>
  <w:num w:numId="64">
    <w:abstractNumId w:val="31"/>
  </w:num>
  <w:num w:numId="65">
    <w:abstractNumId w:val="31"/>
  </w:num>
  <w:num w:numId="66">
    <w:abstractNumId w:val="31"/>
  </w:num>
  <w:num w:numId="67">
    <w:abstractNumId w:val="31"/>
  </w:num>
  <w:num w:numId="68">
    <w:abstractNumId w:val="31"/>
  </w:num>
  <w:num w:numId="69">
    <w:abstractNumId w:val="31"/>
  </w:num>
  <w:num w:numId="70">
    <w:abstractNumId w:val="31"/>
  </w:num>
  <w:num w:numId="71">
    <w:abstractNumId w:val="31"/>
  </w:num>
  <w:num w:numId="72">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77"/>
    <w:rsid w:val="00003FF8"/>
    <w:rsid w:val="00020ED9"/>
    <w:rsid w:val="000652ED"/>
    <w:rsid w:val="00067031"/>
    <w:rsid w:val="00070178"/>
    <w:rsid w:val="000B04DA"/>
    <w:rsid w:val="000C1DF4"/>
    <w:rsid w:val="000C359C"/>
    <w:rsid w:val="000C6A5F"/>
    <w:rsid w:val="000E362E"/>
    <w:rsid w:val="000F0FBA"/>
    <w:rsid w:val="000F2720"/>
    <w:rsid w:val="000F4B5B"/>
    <w:rsid w:val="001014A0"/>
    <w:rsid w:val="00106B77"/>
    <w:rsid w:val="00111949"/>
    <w:rsid w:val="00125A38"/>
    <w:rsid w:val="00127C72"/>
    <w:rsid w:val="00133B21"/>
    <w:rsid w:val="001607FB"/>
    <w:rsid w:val="0016101D"/>
    <w:rsid w:val="0016465A"/>
    <w:rsid w:val="001850B4"/>
    <w:rsid w:val="00190392"/>
    <w:rsid w:val="0019080C"/>
    <w:rsid w:val="00194A0D"/>
    <w:rsid w:val="001A4525"/>
    <w:rsid w:val="001B2A68"/>
    <w:rsid w:val="001D75B0"/>
    <w:rsid w:val="001E47B4"/>
    <w:rsid w:val="001F3149"/>
    <w:rsid w:val="00214011"/>
    <w:rsid w:val="0021407E"/>
    <w:rsid w:val="00214E77"/>
    <w:rsid w:val="002450DA"/>
    <w:rsid w:val="00252709"/>
    <w:rsid w:val="002533F0"/>
    <w:rsid w:val="0025534A"/>
    <w:rsid w:val="00274039"/>
    <w:rsid w:val="00274AEF"/>
    <w:rsid w:val="0028208F"/>
    <w:rsid w:val="002958C4"/>
    <w:rsid w:val="002A4276"/>
    <w:rsid w:val="002B5FAD"/>
    <w:rsid w:val="002B621B"/>
    <w:rsid w:val="002C00B9"/>
    <w:rsid w:val="002C4986"/>
    <w:rsid w:val="002D4156"/>
    <w:rsid w:val="002D7B33"/>
    <w:rsid w:val="002E23E2"/>
    <w:rsid w:val="00315AB8"/>
    <w:rsid w:val="003215C7"/>
    <w:rsid w:val="00330F14"/>
    <w:rsid w:val="00332317"/>
    <w:rsid w:val="00340E0D"/>
    <w:rsid w:val="00341A80"/>
    <w:rsid w:val="0034403B"/>
    <w:rsid w:val="00345AD1"/>
    <w:rsid w:val="00371258"/>
    <w:rsid w:val="003749B1"/>
    <w:rsid w:val="00374EF9"/>
    <w:rsid w:val="0038439E"/>
    <w:rsid w:val="003B2808"/>
    <w:rsid w:val="003B35B1"/>
    <w:rsid w:val="003B48F3"/>
    <w:rsid w:val="003D18E2"/>
    <w:rsid w:val="003E18D1"/>
    <w:rsid w:val="003E65AA"/>
    <w:rsid w:val="00400743"/>
    <w:rsid w:val="0040294F"/>
    <w:rsid w:val="00403015"/>
    <w:rsid w:val="004033BF"/>
    <w:rsid w:val="004044C1"/>
    <w:rsid w:val="004058B5"/>
    <w:rsid w:val="004171B5"/>
    <w:rsid w:val="00433812"/>
    <w:rsid w:val="00436CD6"/>
    <w:rsid w:val="00437380"/>
    <w:rsid w:val="00451CB0"/>
    <w:rsid w:val="0045285F"/>
    <w:rsid w:val="00467B47"/>
    <w:rsid w:val="0047586A"/>
    <w:rsid w:val="00475F07"/>
    <w:rsid w:val="00494BAC"/>
    <w:rsid w:val="00497F76"/>
    <w:rsid w:val="004A29A2"/>
    <w:rsid w:val="004B1E0F"/>
    <w:rsid w:val="004B22F3"/>
    <w:rsid w:val="004C6B22"/>
    <w:rsid w:val="004E2431"/>
    <w:rsid w:val="004E3470"/>
    <w:rsid w:val="004E7102"/>
    <w:rsid w:val="004F15FA"/>
    <w:rsid w:val="004F4518"/>
    <w:rsid w:val="00502485"/>
    <w:rsid w:val="00512B40"/>
    <w:rsid w:val="00533528"/>
    <w:rsid w:val="0054474D"/>
    <w:rsid w:val="00551512"/>
    <w:rsid w:val="00587007"/>
    <w:rsid w:val="00593E35"/>
    <w:rsid w:val="00596451"/>
    <w:rsid w:val="005B3334"/>
    <w:rsid w:val="005B3A17"/>
    <w:rsid w:val="005E3ED5"/>
    <w:rsid w:val="005E7502"/>
    <w:rsid w:val="00601764"/>
    <w:rsid w:val="0060649A"/>
    <w:rsid w:val="00607993"/>
    <w:rsid w:val="00624A88"/>
    <w:rsid w:val="0062705E"/>
    <w:rsid w:val="00631685"/>
    <w:rsid w:val="00635BD6"/>
    <w:rsid w:val="00637381"/>
    <w:rsid w:val="00637D93"/>
    <w:rsid w:val="00651BEB"/>
    <w:rsid w:val="006615E0"/>
    <w:rsid w:val="00663F9B"/>
    <w:rsid w:val="00666A7E"/>
    <w:rsid w:val="00666FD1"/>
    <w:rsid w:val="00681844"/>
    <w:rsid w:val="006A3313"/>
    <w:rsid w:val="006B016E"/>
    <w:rsid w:val="006D3A6B"/>
    <w:rsid w:val="006E4D7E"/>
    <w:rsid w:val="006E7D24"/>
    <w:rsid w:val="007013DD"/>
    <w:rsid w:val="00736C10"/>
    <w:rsid w:val="00743B2F"/>
    <w:rsid w:val="00766C92"/>
    <w:rsid w:val="00774166"/>
    <w:rsid w:val="007810D5"/>
    <w:rsid w:val="00791818"/>
    <w:rsid w:val="007A2082"/>
    <w:rsid w:val="007A2D49"/>
    <w:rsid w:val="007D66FA"/>
    <w:rsid w:val="007D7560"/>
    <w:rsid w:val="007E1B5B"/>
    <w:rsid w:val="007E3190"/>
    <w:rsid w:val="007E4C63"/>
    <w:rsid w:val="007E6493"/>
    <w:rsid w:val="00813552"/>
    <w:rsid w:val="008205AC"/>
    <w:rsid w:val="00827CE5"/>
    <w:rsid w:val="008324C6"/>
    <w:rsid w:val="00843CCE"/>
    <w:rsid w:val="00856E98"/>
    <w:rsid w:val="00860091"/>
    <w:rsid w:val="00872779"/>
    <w:rsid w:val="008770CF"/>
    <w:rsid w:val="00877300"/>
    <w:rsid w:val="008850A2"/>
    <w:rsid w:val="0088737E"/>
    <w:rsid w:val="008967E4"/>
    <w:rsid w:val="008A6906"/>
    <w:rsid w:val="008B4B17"/>
    <w:rsid w:val="008B64FB"/>
    <w:rsid w:val="008B7934"/>
    <w:rsid w:val="008C68B5"/>
    <w:rsid w:val="008D7319"/>
    <w:rsid w:val="008E46F0"/>
    <w:rsid w:val="008E5CCA"/>
    <w:rsid w:val="008F22E5"/>
    <w:rsid w:val="008F2CC1"/>
    <w:rsid w:val="008F7AFC"/>
    <w:rsid w:val="00911CB2"/>
    <w:rsid w:val="00911D94"/>
    <w:rsid w:val="0093542C"/>
    <w:rsid w:val="00936511"/>
    <w:rsid w:val="009401AC"/>
    <w:rsid w:val="00960B57"/>
    <w:rsid w:val="00973C4D"/>
    <w:rsid w:val="009742D2"/>
    <w:rsid w:val="009B0B6A"/>
    <w:rsid w:val="009B15D5"/>
    <w:rsid w:val="009D2725"/>
    <w:rsid w:val="009D5532"/>
    <w:rsid w:val="009D7631"/>
    <w:rsid w:val="009E226F"/>
    <w:rsid w:val="009F0C25"/>
    <w:rsid w:val="00A05A24"/>
    <w:rsid w:val="00A07A1B"/>
    <w:rsid w:val="00A15574"/>
    <w:rsid w:val="00A31EED"/>
    <w:rsid w:val="00A50448"/>
    <w:rsid w:val="00A7186B"/>
    <w:rsid w:val="00A71FA8"/>
    <w:rsid w:val="00A82E86"/>
    <w:rsid w:val="00A9000B"/>
    <w:rsid w:val="00A946A9"/>
    <w:rsid w:val="00A95312"/>
    <w:rsid w:val="00AA0A3E"/>
    <w:rsid w:val="00AB098D"/>
    <w:rsid w:val="00AC17ED"/>
    <w:rsid w:val="00AC7EC8"/>
    <w:rsid w:val="00AD0B0A"/>
    <w:rsid w:val="00AD3FD7"/>
    <w:rsid w:val="00AD5F7F"/>
    <w:rsid w:val="00AE0C8C"/>
    <w:rsid w:val="00AF0936"/>
    <w:rsid w:val="00B0049B"/>
    <w:rsid w:val="00B11DDC"/>
    <w:rsid w:val="00B13C89"/>
    <w:rsid w:val="00B148E4"/>
    <w:rsid w:val="00B206C4"/>
    <w:rsid w:val="00B824EC"/>
    <w:rsid w:val="00B8655E"/>
    <w:rsid w:val="00B90991"/>
    <w:rsid w:val="00B9339B"/>
    <w:rsid w:val="00B97961"/>
    <w:rsid w:val="00BA1ACC"/>
    <w:rsid w:val="00BA4FF9"/>
    <w:rsid w:val="00BA602C"/>
    <w:rsid w:val="00BB25C4"/>
    <w:rsid w:val="00BC4D47"/>
    <w:rsid w:val="00BE57AC"/>
    <w:rsid w:val="00C11D0C"/>
    <w:rsid w:val="00C24A7A"/>
    <w:rsid w:val="00C36E87"/>
    <w:rsid w:val="00C46A9A"/>
    <w:rsid w:val="00C538CC"/>
    <w:rsid w:val="00C56962"/>
    <w:rsid w:val="00C62ACD"/>
    <w:rsid w:val="00C6446B"/>
    <w:rsid w:val="00C64C1B"/>
    <w:rsid w:val="00C72D97"/>
    <w:rsid w:val="00C936FC"/>
    <w:rsid w:val="00CC3FFC"/>
    <w:rsid w:val="00CC454E"/>
    <w:rsid w:val="00CD6F15"/>
    <w:rsid w:val="00CE63BE"/>
    <w:rsid w:val="00D27F43"/>
    <w:rsid w:val="00D363DC"/>
    <w:rsid w:val="00D6528F"/>
    <w:rsid w:val="00D7342F"/>
    <w:rsid w:val="00D81454"/>
    <w:rsid w:val="00D95284"/>
    <w:rsid w:val="00D956F8"/>
    <w:rsid w:val="00DA096D"/>
    <w:rsid w:val="00DA57D3"/>
    <w:rsid w:val="00DB2A3D"/>
    <w:rsid w:val="00DC0961"/>
    <w:rsid w:val="00DC6E83"/>
    <w:rsid w:val="00DC7AC2"/>
    <w:rsid w:val="00DE7C28"/>
    <w:rsid w:val="00DF6D17"/>
    <w:rsid w:val="00E10583"/>
    <w:rsid w:val="00E151A0"/>
    <w:rsid w:val="00E2399E"/>
    <w:rsid w:val="00E32352"/>
    <w:rsid w:val="00E402C2"/>
    <w:rsid w:val="00E403BA"/>
    <w:rsid w:val="00E40F8E"/>
    <w:rsid w:val="00E43E3D"/>
    <w:rsid w:val="00E65E59"/>
    <w:rsid w:val="00E666BD"/>
    <w:rsid w:val="00E974A6"/>
    <w:rsid w:val="00EA5329"/>
    <w:rsid w:val="00EA6181"/>
    <w:rsid w:val="00EB1522"/>
    <w:rsid w:val="00ED0D64"/>
    <w:rsid w:val="00ED295F"/>
    <w:rsid w:val="00ED60EC"/>
    <w:rsid w:val="00EE2EF8"/>
    <w:rsid w:val="00EE573C"/>
    <w:rsid w:val="00EF6D72"/>
    <w:rsid w:val="00F105AC"/>
    <w:rsid w:val="00F23488"/>
    <w:rsid w:val="00F2588C"/>
    <w:rsid w:val="00F26590"/>
    <w:rsid w:val="00F5067B"/>
    <w:rsid w:val="00F51A80"/>
    <w:rsid w:val="00F55653"/>
    <w:rsid w:val="00F573B5"/>
    <w:rsid w:val="00F66106"/>
    <w:rsid w:val="00F77208"/>
    <w:rsid w:val="00F8218D"/>
    <w:rsid w:val="00F94F7D"/>
    <w:rsid w:val="00FA1039"/>
    <w:rsid w:val="00FB48B9"/>
    <w:rsid w:val="00FD21CA"/>
    <w:rsid w:val="00FD6830"/>
    <w:rsid w:val="00FE2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49B"/>
    <w:pPr>
      <w:spacing w:before="120"/>
    </w:pPr>
    <w:rPr>
      <w:rFonts w:ascii="Arial" w:hAnsi="Arial"/>
      <w:lang w:eastAsia="en-US"/>
    </w:rPr>
  </w:style>
  <w:style w:type="paragraph" w:styleId="Heading1">
    <w:name w:val="heading 1"/>
    <w:basedOn w:val="Normal"/>
    <w:next w:val="Normal"/>
    <w:qFormat/>
    <w:rsid w:val="00451CB0"/>
    <w:pPr>
      <w:keepNext/>
      <w:keepLines/>
      <w:numPr>
        <w:numId w:val="46"/>
      </w:numPr>
      <w:spacing w:before="240" w:after="60"/>
      <w:outlineLvl w:val="0"/>
    </w:pPr>
    <w:rPr>
      <w:b/>
      <w:sz w:val="28"/>
      <w:szCs w:val="26"/>
    </w:rPr>
  </w:style>
  <w:style w:type="paragraph" w:styleId="Heading2">
    <w:name w:val="heading 2"/>
    <w:basedOn w:val="Heading1"/>
    <w:next w:val="Normal"/>
    <w:qFormat/>
    <w:rsid w:val="00451CB0"/>
    <w:pPr>
      <w:numPr>
        <w:ilvl w:val="1"/>
      </w:numPr>
      <w:spacing w:before="180"/>
      <w:outlineLvl w:val="1"/>
    </w:pPr>
    <w:rPr>
      <w:sz w:val="24"/>
      <w:szCs w:val="24"/>
    </w:rPr>
  </w:style>
  <w:style w:type="paragraph" w:styleId="Heading3">
    <w:name w:val="heading 3"/>
    <w:basedOn w:val="Heading2"/>
    <w:next w:val="Normal"/>
    <w:qFormat/>
    <w:rsid w:val="00451CB0"/>
    <w:pPr>
      <w:numPr>
        <w:ilvl w:val="2"/>
      </w:numPr>
      <w:tabs>
        <w:tab w:val="clear" w:pos="720"/>
        <w:tab w:val="num" w:pos="851"/>
      </w:tabs>
      <w:spacing w:before="120" w:after="0"/>
      <w:ind w:left="851" w:hanging="851"/>
      <w:outlineLvl w:val="2"/>
    </w:pPr>
    <w:rPr>
      <w:i/>
      <w:sz w:val="22"/>
      <w:szCs w:val="20"/>
    </w:rPr>
  </w:style>
  <w:style w:type="paragraph" w:styleId="Heading4">
    <w:name w:val="heading 4"/>
    <w:basedOn w:val="Heading3"/>
    <w:next w:val="Normal"/>
    <w:qFormat/>
    <w:rsid w:val="00451CB0"/>
    <w:pPr>
      <w:numPr>
        <w:ilvl w:val="0"/>
        <w:numId w:val="0"/>
      </w:numPr>
      <w:outlineLvl w:val="3"/>
    </w:pPr>
    <w:rPr>
      <w:sz w:val="20"/>
    </w:rPr>
  </w:style>
  <w:style w:type="paragraph" w:styleId="Heading5">
    <w:name w:val="heading 5"/>
    <w:basedOn w:val="Normal"/>
    <w:next w:val="Normal"/>
    <w:qFormat/>
    <w:rsid w:val="002C4986"/>
    <w:pPr>
      <w:keepNext/>
      <w:keepLines/>
      <w:spacing w:before="0" w:line="240" w:lineRule="atLeast"/>
      <w:outlineLvl w:val="4"/>
    </w:pPr>
    <w:rPr>
      <w:spacing w:val="-4"/>
      <w:kern w:val="28"/>
    </w:rPr>
  </w:style>
  <w:style w:type="paragraph" w:styleId="Heading6">
    <w:name w:val="heading 6"/>
    <w:basedOn w:val="Normal"/>
    <w:next w:val="Normal"/>
    <w:qFormat/>
    <w:rsid w:val="002C4986"/>
    <w:pPr>
      <w:keepNext/>
      <w:keepLines/>
      <w:spacing w:before="140" w:line="220" w:lineRule="atLeast"/>
      <w:outlineLvl w:val="5"/>
    </w:pPr>
    <w:rPr>
      <w:i/>
      <w:spacing w:val="-4"/>
      <w:kern w:val="28"/>
    </w:rPr>
  </w:style>
  <w:style w:type="paragraph" w:styleId="Heading7">
    <w:name w:val="heading 7"/>
    <w:basedOn w:val="Normal"/>
    <w:next w:val="Normal"/>
    <w:qFormat/>
    <w:rsid w:val="002C4986"/>
    <w:pPr>
      <w:keepNext/>
      <w:keepLines/>
      <w:spacing w:before="140" w:line="220" w:lineRule="atLeast"/>
      <w:outlineLvl w:val="6"/>
    </w:pPr>
    <w:rPr>
      <w:spacing w:val="-4"/>
      <w:kern w:val="28"/>
    </w:rPr>
  </w:style>
  <w:style w:type="paragraph" w:styleId="Heading8">
    <w:name w:val="heading 8"/>
    <w:basedOn w:val="Normal"/>
    <w:next w:val="Normal"/>
    <w:qFormat/>
    <w:rsid w:val="002C4986"/>
    <w:pPr>
      <w:keepNext/>
      <w:keepLines/>
      <w:spacing w:before="140" w:line="220" w:lineRule="atLeast"/>
      <w:outlineLvl w:val="7"/>
    </w:pPr>
    <w:rPr>
      <w:i/>
      <w:spacing w:val="-4"/>
      <w:kern w:val="28"/>
      <w:sz w:val="18"/>
    </w:rPr>
  </w:style>
  <w:style w:type="paragraph" w:styleId="Heading9">
    <w:name w:val="heading 9"/>
    <w:basedOn w:val="Normal"/>
    <w:next w:val="Normal"/>
    <w:qFormat/>
    <w:rsid w:val="002C4986"/>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2">
    <w:name w:val="Dotpoint #2"/>
    <w:basedOn w:val="Dotpointtable"/>
    <w:rsid w:val="00B0049B"/>
    <w:pPr>
      <w:numPr>
        <w:ilvl w:val="1"/>
        <w:numId w:val="50"/>
      </w:numPr>
      <w:tabs>
        <w:tab w:val="clear" w:pos="1440"/>
        <w:tab w:val="num" w:pos="1701"/>
      </w:tabs>
      <w:ind w:left="1701" w:hanging="425"/>
    </w:pPr>
    <w:rPr>
      <w:rFonts w:cs="Times New Roman"/>
      <w:bCs w:val="0"/>
      <w:szCs w:val="20"/>
    </w:rPr>
  </w:style>
  <w:style w:type="paragraph" w:customStyle="1" w:styleId="Dotpointtable">
    <w:name w:val="Dotpoint table"/>
    <w:basedOn w:val="TableText"/>
    <w:rsid w:val="00214011"/>
    <w:pPr>
      <w:numPr>
        <w:numId w:val="49"/>
      </w:numPr>
      <w:spacing w:before="60" w:after="60"/>
    </w:pPr>
    <w:rPr>
      <w:rFonts w:cs="Arial"/>
      <w:bCs/>
      <w:sz w:val="18"/>
      <w:szCs w:val="28"/>
    </w:rPr>
  </w:style>
  <w:style w:type="paragraph" w:customStyle="1" w:styleId="TableText">
    <w:name w:val="TableText"/>
    <w:basedOn w:val="Normal"/>
    <w:rsid w:val="00214011"/>
    <w:pPr>
      <w:spacing w:before="40" w:after="40"/>
    </w:pPr>
    <w:rPr>
      <w:lang w:eastAsia="en-AU"/>
    </w:rPr>
  </w:style>
  <w:style w:type="paragraph" w:styleId="Caption">
    <w:name w:val="caption"/>
    <w:basedOn w:val="Normal"/>
    <w:next w:val="Normal"/>
    <w:qFormat/>
    <w:rsid w:val="002C4986"/>
    <w:pPr>
      <w:keepNext/>
      <w:numPr>
        <w:numId w:val="38"/>
      </w:numPr>
      <w:spacing w:before="60" w:after="240" w:line="220" w:lineRule="atLeast"/>
    </w:pPr>
    <w:rPr>
      <w:rFonts w:ascii="Arial Narrow" w:hAnsi="Arial Narrow"/>
      <w:sz w:val="18"/>
    </w:rPr>
  </w:style>
  <w:style w:type="paragraph" w:styleId="DocumentMap">
    <w:name w:val="Document Map"/>
    <w:basedOn w:val="Normal"/>
    <w:semiHidden/>
    <w:rsid w:val="002C4986"/>
    <w:pPr>
      <w:shd w:val="clear" w:color="auto" w:fill="000080"/>
    </w:pPr>
    <w:rPr>
      <w:rFonts w:ascii="Tahoma" w:hAnsi="Tahoma" w:cs="Tahoma"/>
    </w:rPr>
  </w:style>
  <w:style w:type="paragraph" w:customStyle="1" w:styleId="Dotpoint">
    <w:name w:val="Dotpoint"/>
    <w:basedOn w:val="Normal"/>
    <w:rsid w:val="00B0049B"/>
    <w:pPr>
      <w:numPr>
        <w:numId w:val="39"/>
      </w:numPr>
      <w:tabs>
        <w:tab w:val="clear" w:pos="1385"/>
        <w:tab w:val="num" w:pos="1276"/>
      </w:tabs>
      <w:ind w:left="1276" w:hanging="425"/>
    </w:pPr>
  </w:style>
  <w:style w:type="paragraph" w:customStyle="1" w:styleId="ExampleText">
    <w:name w:val="Example Text"/>
    <w:basedOn w:val="Normal"/>
    <w:rsid w:val="00214011"/>
    <w:pPr>
      <w:spacing w:before="40" w:after="60"/>
    </w:pPr>
    <w:rPr>
      <w:i/>
      <w:vanish/>
      <w:color w:val="0000FF"/>
    </w:rPr>
  </w:style>
  <w:style w:type="paragraph" w:styleId="Header">
    <w:name w:val="header"/>
    <w:basedOn w:val="Normal"/>
    <w:rsid w:val="00451CB0"/>
    <w:pPr>
      <w:tabs>
        <w:tab w:val="center" w:pos="4153"/>
        <w:tab w:val="right" w:pos="8306"/>
      </w:tabs>
      <w:spacing w:before="360"/>
      <w:jc w:val="center"/>
    </w:pPr>
    <w:rPr>
      <w:sz w:val="40"/>
      <w:szCs w:val="40"/>
    </w:rPr>
  </w:style>
  <w:style w:type="paragraph" w:styleId="Title">
    <w:name w:val="Title"/>
    <w:basedOn w:val="Normal"/>
    <w:next w:val="Subtitle"/>
    <w:qFormat/>
    <w:rsid w:val="007810D5"/>
    <w:rPr>
      <w:noProof/>
      <w:color w:val="0084C2"/>
      <w:sz w:val="72"/>
      <w:szCs w:val="72"/>
      <w:lang w:eastAsia="en-AU"/>
    </w:rPr>
  </w:style>
  <w:style w:type="paragraph" w:styleId="Subtitle">
    <w:name w:val="Subtitle"/>
    <w:basedOn w:val="Normal"/>
    <w:next w:val="Normal"/>
    <w:qFormat/>
    <w:rsid w:val="007810D5"/>
    <w:rPr>
      <w:color w:val="0084C2"/>
      <w:sz w:val="32"/>
      <w:szCs w:val="32"/>
      <w:lang w:eastAsia="en-AU"/>
    </w:rPr>
  </w:style>
  <w:style w:type="paragraph" w:styleId="TOC1">
    <w:name w:val="toc 1"/>
    <w:basedOn w:val="Normal"/>
    <w:autoRedefine/>
    <w:uiPriority w:val="39"/>
    <w:qFormat/>
    <w:rsid w:val="0021407E"/>
    <w:pPr>
      <w:tabs>
        <w:tab w:val="left" w:pos="1560"/>
        <w:tab w:val="right" w:leader="dot" w:pos="8789"/>
      </w:tabs>
      <w:spacing w:after="120"/>
      <w:ind w:left="1560" w:right="816" w:hanging="709"/>
    </w:pPr>
    <w:rPr>
      <w:rFonts w:eastAsia="Arial"/>
      <w:noProof/>
      <w:spacing w:val="-4"/>
      <w:sz w:val="24"/>
      <w:szCs w:val="24"/>
    </w:rPr>
  </w:style>
  <w:style w:type="paragraph" w:styleId="TOC2">
    <w:name w:val="toc 2"/>
    <w:basedOn w:val="Normal"/>
    <w:autoRedefine/>
    <w:uiPriority w:val="39"/>
    <w:qFormat/>
    <w:rsid w:val="00E40F8E"/>
    <w:pPr>
      <w:tabs>
        <w:tab w:val="left" w:pos="1701"/>
        <w:tab w:val="left" w:pos="2552"/>
        <w:tab w:val="right" w:leader="dot" w:pos="8789"/>
      </w:tabs>
      <w:spacing w:after="120" w:line="276" w:lineRule="auto"/>
      <w:ind w:left="992"/>
    </w:pPr>
  </w:style>
  <w:style w:type="paragraph" w:styleId="TOC3">
    <w:name w:val="toc 3"/>
    <w:basedOn w:val="Normal"/>
    <w:autoRedefine/>
    <w:uiPriority w:val="39"/>
    <w:semiHidden/>
    <w:qFormat/>
    <w:rsid w:val="00451CB0"/>
    <w:pPr>
      <w:tabs>
        <w:tab w:val="left" w:pos="1985"/>
        <w:tab w:val="right" w:leader="dot" w:pos="9629"/>
      </w:tabs>
      <w:ind w:left="360"/>
    </w:pPr>
  </w:style>
  <w:style w:type="paragraph" w:styleId="TOC4">
    <w:name w:val="toc 4"/>
    <w:basedOn w:val="Normal"/>
    <w:autoRedefine/>
    <w:semiHidden/>
    <w:rsid w:val="00451CB0"/>
    <w:pPr>
      <w:ind w:left="360"/>
    </w:pPr>
  </w:style>
  <w:style w:type="paragraph" w:styleId="TOC5">
    <w:name w:val="toc 5"/>
    <w:basedOn w:val="Normal"/>
    <w:autoRedefine/>
    <w:semiHidden/>
    <w:rsid w:val="002C4986"/>
    <w:pPr>
      <w:ind w:left="360"/>
    </w:pPr>
  </w:style>
  <w:style w:type="paragraph" w:styleId="Footer">
    <w:name w:val="footer"/>
    <w:basedOn w:val="Normal"/>
    <w:rsid w:val="00451CB0"/>
    <w:pPr>
      <w:tabs>
        <w:tab w:val="center" w:pos="4153"/>
        <w:tab w:val="right" w:pos="8306"/>
      </w:tabs>
    </w:pPr>
  </w:style>
  <w:style w:type="character" w:customStyle="1" w:styleId="FWOBlue">
    <w:name w:val="FWO Blue"/>
    <w:rsid w:val="007810D5"/>
    <w:rPr>
      <w:rFonts w:ascii="Arial" w:hAnsi="Arial"/>
      <w:color w:val="0084C2"/>
    </w:rPr>
  </w:style>
  <w:style w:type="character" w:styleId="Hyperlink">
    <w:name w:val="Hyperlink"/>
    <w:uiPriority w:val="99"/>
    <w:rsid w:val="00451CB0"/>
    <w:rPr>
      <w:color w:val="0000FF"/>
      <w:u w:val="single"/>
    </w:rPr>
  </w:style>
  <w:style w:type="paragraph" w:styleId="FootnoteText">
    <w:name w:val="footnote text"/>
    <w:basedOn w:val="Normal"/>
    <w:link w:val="FootnoteTextChar"/>
    <w:unhideWhenUsed/>
    <w:rsid w:val="00601764"/>
    <w:pPr>
      <w:spacing w:before="0"/>
    </w:pPr>
    <w:rPr>
      <w:rFonts w:ascii="Calibri" w:hAnsi="Calibri"/>
      <w:lang w:eastAsia="en-AU"/>
    </w:rPr>
  </w:style>
  <w:style w:type="character" w:customStyle="1" w:styleId="FootnoteTextChar">
    <w:name w:val="Footnote Text Char"/>
    <w:link w:val="FootnoteText"/>
    <w:rsid w:val="00601764"/>
    <w:rPr>
      <w:rFonts w:ascii="Calibri" w:hAnsi="Calibri"/>
    </w:rPr>
  </w:style>
  <w:style w:type="character" w:styleId="FootnoteReference">
    <w:name w:val="footnote reference"/>
    <w:unhideWhenUsed/>
    <w:rsid w:val="00601764"/>
    <w:rPr>
      <w:vertAlign w:val="superscript"/>
    </w:rPr>
  </w:style>
  <w:style w:type="table" w:styleId="TableGrid">
    <w:name w:val="Table Grid"/>
    <w:basedOn w:val="TableNormal"/>
    <w:uiPriority w:val="59"/>
    <w:rsid w:val="0060176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01764"/>
    <w:pPr>
      <w:numPr>
        <w:numId w:val="0"/>
      </w:numPr>
      <w:spacing w:before="480" w:after="0" w:line="276" w:lineRule="auto"/>
      <w:outlineLvl w:val="9"/>
    </w:pPr>
    <w:rPr>
      <w:rFonts w:ascii="Cambria" w:hAnsi="Cambria"/>
      <w:bCs/>
      <w:color w:val="365F91"/>
      <w:szCs w:val="28"/>
      <w:lang w:val="en-US"/>
    </w:rPr>
  </w:style>
  <w:style w:type="paragraph" w:styleId="ListParagraph">
    <w:name w:val="List Paragraph"/>
    <w:basedOn w:val="Normal"/>
    <w:uiPriority w:val="34"/>
    <w:qFormat/>
    <w:rsid w:val="00601764"/>
    <w:pPr>
      <w:spacing w:before="0" w:after="200" w:line="276" w:lineRule="auto"/>
      <w:ind w:left="720"/>
      <w:contextualSpacing/>
    </w:pPr>
    <w:rPr>
      <w:rFonts w:ascii="Calibri" w:hAnsi="Calibri"/>
      <w:sz w:val="22"/>
      <w:szCs w:val="22"/>
      <w:lang w:eastAsia="en-AU"/>
    </w:rPr>
  </w:style>
  <w:style w:type="paragraph" w:customStyle="1" w:styleId="Default">
    <w:name w:val="Default"/>
    <w:rsid w:val="00601764"/>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601764"/>
    <w:rPr>
      <w:sz w:val="16"/>
      <w:szCs w:val="16"/>
    </w:rPr>
  </w:style>
  <w:style w:type="paragraph" w:styleId="CommentText">
    <w:name w:val="annotation text"/>
    <w:basedOn w:val="Normal"/>
    <w:link w:val="CommentTextChar"/>
    <w:uiPriority w:val="99"/>
    <w:unhideWhenUsed/>
    <w:rsid w:val="00601764"/>
    <w:pPr>
      <w:spacing w:before="0" w:after="200"/>
    </w:pPr>
    <w:rPr>
      <w:rFonts w:ascii="Calibri" w:hAnsi="Calibri"/>
      <w:lang w:eastAsia="en-AU"/>
    </w:rPr>
  </w:style>
  <w:style w:type="character" w:customStyle="1" w:styleId="CommentTextChar">
    <w:name w:val="Comment Text Char"/>
    <w:link w:val="CommentText"/>
    <w:uiPriority w:val="99"/>
    <w:rsid w:val="00601764"/>
    <w:rPr>
      <w:rFonts w:ascii="Calibri" w:hAnsi="Calibri"/>
    </w:rPr>
  </w:style>
  <w:style w:type="character" w:styleId="Strong">
    <w:name w:val="Strong"/>
    <w:uiPriority w:val="22"/>
    <w:qFormat/>
    <w:rsid w:val="00601764"/>
    <w:rPr>
      <w:b/>
      <w:bCs/>
    </w:rPr>
  </w:style>
  <w:style w:type="paragraph" w:styleId="BalloonText">
    <w:name w:val="Balloon Text"/>
    <w:basedOn w:val="Normal"/>
    <w:link w:val="BalloonTextChar"/>
    <w:rsid w:val="00601764"/>
    <w:pPr>
      <w:spacing w:before="0"/>
    </w:pPr>
    <w:rPr>
      <w:rFonts w:ascii="Tahoma" w:hAnsi="Tahoma" w:cs="Tahoma"/>
      <w:sz w:val="16"/>
      <w:szCs w:val="16"/>
    </w:rPr>
  </w:style>
  <w:style w:type="character" w:customStyle="1" w:styleId="BalloonTextChar">
    <w:name w:val="Balloon Text Char"/>
    <w:link w:val="BalloonText"/>
    <w:rsid w:val="00601764"/>
    <w:rPr>
      <w:rFonts w:ascii="Tahoma" w:hAnsi="Tahoma" w:cs="Tahoma"/>
      <w:sz w:val="16"/>
      <w:szCs w:val="16"/>
      <w:lang w:eastAsia="en-US"/>
    </w:rPr>
  </w:style>
  <w:style w:type="paragraph" w:styleId="Revision">
    <w:name w:val="Revision"/>
    <w:hidden/>
    <w:uiPriority w:val="99"/>
    <w:semiHidden/>
    <w:rsid w:val="009D5532"/>
    <w:rPr>
      <w:rFonts w:ascii="Arial" w:hAnsi="Arial"/>
      <w:lang w:eastAsia="en-US"/>
    </w:rPr>
  </w:style>
  <w:style w:type="paragraph" w:styleId="CommentSubject">
    <w:name w:val="annotation subject"/>
    <w:basedOn w:val="CommentText"/>
    <w:next w:val="CommentText"/>
    <w:link w:val="CommentSubjectChar"/>
    <w:rsid w:val="0047586A"/>
    <w:pPr>
      <w:spacing w:before="120" w:after="0"/>
    </w:pPr>
    <w:rPr>
      <w:rFonts w:ascii="Arial" w:hAnsi="Arial"/>
      <w:b/>
      <w:bCs/>
      <w:lang w:eastAsia="en-US"/>
    </w:rPr>
  </w:style>
  <w:style w:type="character" w:customStyle="1" w:styleId="CommentSubjectChar">
    <w:name w:val="Comment Subject Char"/>
    <w:basedOn w:val="CommentTextChar"/>
    <w:link w:val="CommentSubject"/>
    <w:rsid w:val="0047586A"/>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49B"/>
    <w:pPr>
      <w:spacing w:before="120"/>
    </w:pPr>
    <w:rPr>
      <w:rFonts w:ascii="Arial" w:hAnsi="Arial"/>
      <w:lang w:eastAsia="en-US"/>
    </w:rPr>
  </w:style>
  <w:style w:type="paragraph" w:styleId="Heading1">
    <w:name w:val="heading 1"/>
    <w:basedOn w:val="Normal"/>
    <w:next w:val="Normal"/>
    <w:qFormat/>
    <w:rsid w:val="00451CB0"/>
    <w:pPr>
      <w:keepNext/>
      <w:keepLines/>
      <w:numPr>
        <w:numId w:val="46"/>
      </w:numPr>
      <w:spacing w:before="240" w:after="60"/>
      <w:outlineLvl w:val="0"/>
    </w:pPr>
    <w:rPr>
      <w:b/>
      <w:sz w:val="28"/>
      <w:szCs w:val="26"/>
    </w:rPr>
  </w:style>
  <w:style w:type="paragraph" w:styleId="Heading2">
    <w:name w:val="heading 2"/>
    <w:basedOn w:val="Heading1"/>
    <w:next w:val="Normal"/>
    <w:qFormat/>
    <w:rsid w:val="00451CB0"/>
    <w:pPr>
      <w:numPr>
        <w:ilvl w:val="1"/>
      </w:numPr>
      <w:spacing w:before="180"/>
      <w:outlineLvl w:val="1"/>
    </w:pPr>
    <w:rPr>
      <w:sz w:val="24"/>
      <w:szCs w:val="24"/>
    </w:rPr>
  </w:style>
  <w:style w:type="paragraph" w:styleId="Heading3">
    <w:name w:val="heading 3"/>
    <w:basedOn w:val="Heading2"/>
    <w:next w:val="Normal"/>
    <w:qFormat/>
    <w:rsid w:val="00451CB0"/>
    <w:pPr>
      <w:numPr>
        <w:ilvl w:val="2"/>
      </w:numPr>
      <w:tabs>
        <w:tab w:val="clear" w:pos="720"/>
        <w:tab w:val="num" w:pos="851"/>
      </w:tabs>
      <w:spacing w:before="120" w:after="0"/>
      <w:ind w:left="851" w:hanging="851"/>
      <w:outlineLvl w:val="2"/>
    </w:pPr>
    <w:rPr>
      <w:i/>
      <w:sz w:val="22"/>
      <w:szCs w:val="20"/>
    </w:rPr>
  </w:style>
  <w:style w:type="paragraph" w:styleId="Heading4">
    <w:name w:val="heading 4"/>
    <w:basedOn w:val="Heading3"/>
    <w:next w:val="Normal"/>
    <w:qFormat/>
    <w:rsid w:val="00451CB0"/>
    <w:pPr>
      <w:numPr>
        <w:ilvl w:val="0"/>
        <w:numId w:val="0"/>
      </w:numPr>
      <w:outlineLvl w:val="3"/>
    </w:pPr>
    <w:rPr>
      <w:sz w:val="20"/>
    </w:rPr>
  </w:style>
  <w:style w:type="paragraph" w:styleId="Heading5">
    <w:name w:val="heading 5"/>
    <w:basedOn w:val="Normal"/>
    <w:next w:val="Normal"/>
    <w:qFormat/>
    <w:rsid w:val="002C4986"/>
    <w:pPr>
      <w:keepNext/>
      <w:keepLines/>
      <w:spacing w:before="0" w:line="240" w:lineRule="atLeast"/>
      <w:outlineLvl w:val="4"/>
    </w:pPr>
    <w:rPr>
      <w:spacing w:val="-4"/>
      <w:kern w:val="28"/>
    </w:rPr>
  </w:style>
  <w:style w:type="paragraph" w:styleId="Heading6">
    <w:name w:val="heading 6"/>
    <w:basedOn w:val="Normal"/>
    <w:next w:val="Normal"/>
    <w:qFormat/>
    <w:rsid w:val="002C4986"/>
    <w:pPr>
      <w:keepNext/>
      <w:keepLines/>
      <w:spacing w:before="140" w:line="220" w:lineRule="atLeast"/>
      <w:outlineLvl w:val="5"/>
    </w:pPr>
    <w:rPr>
      <w:i/>
      <w:spacing w:val="-4"/>
      <w:kern w:val="28"/>
    </w:rPr>
  </w:style>
  <w:style w:type="paragraph" w:styleId="Heading7">
    <w:name w:val="heading 7"/>
    <w:basedOn w:val="Normal"/>
    <w:next w:val="Normal"/>
    <w:qFormat/>
    <w:rsid w:val="002C4986"/>
    <w:pPr>
      <w:keepNext/>
      <w:keepLines/>
      <w:spacing w:before="140" w:line="220" w:lineRule="atLeast"/>
      <w:outlineLvl w:val="6"/>
    </w:pPr>
    <w:rPr>
      <w:spacing w:val="-4"/>
      <w:kern w:val="28"/>
    </w:rPr>
  </w:style>
  <w:style w:type="paragraph" w:styleId="Heading8">
    <w:name w:val="heading 8"/>
    <w:basedOn w:val="Normal"/>
    <w:next w:val="Normal"/>
    <w:qFormat/>
    <w:rsid w:val="002C4986"/>
    <w:pPr>
      <w:keepNext/>
      <w:keepLines/>
      <w:spacing w:before="140" w:line="220" w:lineRule="atLeast"/>
      <w:outlineLvl w:val="7"/>
    </w:pPr>
    <w:rPr>
      <w:i/>
      <w:spacing w:val="-4"/>
      <w:kern w:val="28"/>
      <w:sz w:val="18"/>
    </w:rPr>
  </w:style>
  <w:style w:type="paragraph" w:styleId="Heading9">
    <w:name w:val="heading 9"/>
    <w:basedOn w:val="Normal"/>
    <w:next w:val="Normal"/>
    <w:qFormat/>
    <w:rsid w:val="002C4986"/>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2">
    <w:name w:val="Dotpoint #2"/>
    <w:basedOn w:val="Dotpointtable"/>
    <w:rsid w:val="00B0049B"/>
    <w:pPr>
      <w:numPr>
        <w:ilvl w:val="1"/>
        <w:numId w:val="50"/>
      </w:numPr>
      <w:tabs>
        <w:tab w:val="clear" w:pos="1440"/>
        <w:tab w:val="num" w:pos="1701"/>
      </w:tabs>
      <w:ind w:left="1701" w:hanging="425"/>
    </w:pPr>
    <w:rPr>
      <w:rFonts w:cs="Times New Roman"/>
      <w:bCs w:val="0"/>
      <w:szCs w:val="20"/>
    </w:rPr>
  </w:style>
  <w:style w:type="paragraph" w:customStyle="1" w:styleId="Dotpointtable">
    <w:name w:val="Dotpoint table"/>
    <w:basedOn w:val="TableText"/>
    <w:rsid w:val="00214011"/>
    <w:pPr>
      <w:numPr>
        <w:numId w:val="49"/>
      </w:numPr>
      <w:spacing w:before="60" w:after="60"/>
    </w:pPr>
    <w:rPr>
      <w:rFonts w:cs="Arial"/>
      <w:bCs/>
      <w:sz w:val="18"/>
      <w:szCs w:val="28"/>
    </w:rPr>
  </w:style>
  <w:style w:type="paragraph" w:customStyle="1" w:styleId="TableText">
    <w:name w:val="TableText"/>
    <w:basedOn w:val="Normal"/>
    <w:rsid w:val="00214011"/>
    <w:pPr>
      <w:spacing w:before="40" w:after="40"/>
    </w:pPr>
    <w:rPr>
      <w:lang w:eastAsia="en-AU"/>
    </w:rPr>
  </w:style>
  <w:style w:type="paragraph" w:styleId="Caption">
    <w:name w:val="caption"/>
    <w:basedOn w:val="Normal"/>
    <w:next w:val="Normal"/>
    <w:qFormat/>
    <w:rsid w:val="002C4986"/>
    <w:pPr>
      <w:keepNext/>
      <w:numPr>
        <w:numId w:val="38"/>
      </w:numPr>
      <w:spacing w:before="60" w:after="240" w:line="220" w:lineRule="atLeast"/>
    </w:pPr>
    <w:rPr>
      <w:rFonts w:ascii="Arial Narrow" w:hAnsi="Arial Narrow"/>
      <w:sz w:val="18"/>
    </w:rPr>
  </w:style>
  <w:style w:type="paragraph" w:styleId="DocumentMap">
    <w:name w:val="Document Map"/>
    <w:basedOn w:val="Normal"/>
    <w:semiHidden/>
    <w:rsid w:val="002C4986"/>
    <w:pPr>
      <w:shd w:val="clear" w:color="auto" w:fill="000080"/>
    </w:pPr>
    <w:rPr>
      <w:rFonts w:ascii="Tahoma" w:hAnsi="Tahoma" w:cs="Tahoma"/>
    </w:rPr>
  </w:style>
  <w:style w:type="paragraph" w:customStyle="1" w:styleId="Dotpoint">
    <w:name w:val="Dotpoint"/>
    <w:basedOn w:val="Normal"/>
    <w:rsid w:val="00B0049B"/>
    <w:pPr>
      <w:numPr>
        <w:numId w:val="39"/>
      </w:numPr>
      <w:tabs>
        <w:tab w:val="clear" w:pos="1385"/>
        <w:tab w:val="num" w:pos="1276"/>
      </w:tabs>
      <w:ind w:left="1276" w:hanging="425"/>
    </w:pPr>
  </w:style>
  <w:style w:type="paragraph" w:customStyle="1" w:styleId="ExampleText">
    <w:name w:val="Example Text"/>
    <w:basedOn w:val="Normal"/>
    <w:rsid w:val="00214011"/>
    <w:pPr>
      <w:spacing w:before="40" w:after="60"/>
    </w:pPr>
    <w:rPr>
      <w:i/>
      <w:vanish/>
      <w:color w:val="0000FF"/>
    </w:rPr>
  </w:style>
  <w:style w:type="paragraph" w:styleId="Header">
    <w:name w:val="header"/>
    <w:basedOn w:val="Normal"/>
    <w:rsid w:val="00451CB0"/>
    <w:pPr>
      <w:tabs>
        <w:tab w:val="center" w:pos="4153"/>
        <w:tab w:val="right" w:pos="8306"/>
      </w:tabs>
      <w:spacing w:before="360"/>
      <w:jc w:val="center"/>
    </w:pPr>
    <w:rPr>
      <w:sz w:val="40"/>
      <w:szCs w:val="40"/>
    </w:rPr>
  </w:style>
  <w:style w:type="paragraph" w:styleId="Title">
    <w:name w:val="Title"/>
    <w:basedOn w:val="Normal"/>
    <w:next w:val="Subtitle"/>
    <w:qFormat/>
    <w:rsid w:val="007810D5"/>
    <w:rPr>
      <w:noProof/>
      <w:color w:val="0084C2"/>
      <w:sz w:val="72"/>
      <w:szCs w:val="72"/>
      <w:lang w:eastAsia="en-AU"/>
    </w:rPr>
  </w:style>
  <w:style w:type="paragraph" w:styleId="Subtitle">
    <w:name w:val="Subtitle"/>
    <w:basedOn w:val="Normal"/>
    <w:next w:val="Normal"/>
    <w:qFormat/>
    <w:rsid w:val="007810D5"/>
    <w:rPr>
      <w:color w:val="0084C2"/>
      <w:sz w:val="32"/>
      <w:szCs w:val="32"/>
      <w:lang w:eastAsia="en-AU"/>
    </w:rPr>
  </w:style>
  <w:style w:type="paragraph" w:styleId="TOC1">
    <w:name w:val="toc 1"/>
    <w:basedOn w:val="Normal"/>
    <w:autoRedefine/>
    <w:uiPriority w:val="39"/>
    <w:qFormat/>
    <w:rsid w:val="0021407E"/>
    <w:pPr>
      <w:tabs>
        <w:tab w:val="left" w:pos="1560"/>
        <w:tab w:val="right" w:leader="dot" w:pos="8789"/>
      </w:tabs>
      <w:spacing w:after="120"/>
      <w:ind w:left="1560" w:right="816" w:hanging="709"/>
    </w:pPr>
    <w:rPr>
      <w:rFonts w:eastAsia="Arial"/>
      <w:noProof/>
      <w:spacing w:val="-4"/>
      <w:sz w:val="24"/>
      <w:szCs w:val="24"/>
    </w:rPr>
  </w:style>
  <w:style w:type="paragraph" w:styleId="TOC2">
    <w:name w:val="toc 2"/>
    <w:basedOn w:val="Normal"/>
    <w:autoRedefine/>
    <w:uiPriority w:val="39"/>
    <w:qFormat/>
    <w:rsid w:val="00E40F8E"/>
    <w:pPr>
      <w:tabs>
        <w:tab w:val="left" w:pos="1701"/>
        <w:tab w:val="left" w:pos="2552"/>
        <w:tab w:val="right" w:leader="dot" w:pos="8789"/>
      </w:tabs>
      <w:spacing w:after="120" w:line="276" w:lineRule="auto"/>
      <w:ind w:left="992"/>
    </w:pPr>
  </w:style>
  <w:style w:type="paragraph" w:styleId="TOC3">
    <w:name w:val="toc 3"/>
    <w:basedOn w:val="Normal"/>
    <w:autoRedefine/>
    <w:uiPriority w:val="39"/>
    <w:semiHidden/>
    <w:qFormat/>
    <w:rsid w:val="00451CB0"/>
    <w:pPr>
      <w:tabs>
        <w:tab w:val="left" w:pos="1985"/>
        <w:tab w:val="right" w:leader="dot" w:pos="9629"/>
      </w:tabs>
      <w:ind w:left="360"/>
    </w:pPr>
  </w:style>
  <w:style w:type="paragraph" w:styleId="TOC4">
    <w:name w:val="toc 4"/>
    <w:basedOn w:val="Normal"/>
    <w:autoRedefine/>
    <w:semiHidden/>
    <w:rsid w:val="00451CB0"/>
    <w:pPr>
      <w:ind w:left="360"/>
    </w:pPr>
  </w:style>
  <w:style w:type="paragraph" w:styleId="TOC5">
    <w:name w:val="toc 5"/>
    <w:basedOn w:val="Normal"/>
    <w:autoRedefine/>
    <w:semiHidden/>
    <w:rsid w:val="002C4986"/>
    <w:pPr>
      <w:ind w:left="360"/>
    </w:pPr>
  </w:style>
  <w:style w:type="paragraph" w:styleId="Footer">
    <w:name w:val="footer"/>
    <w:basedOn w:val="Normal"/>
    <w:rsid w:val="00451CB0"/>
    <w:pPr>
      <w:tabs>
        <w:tab w:val="center" w:pos="4153"/>
        <w:tab w:val="right" w:pos="8306"/>
      </w:tabs>
    </w:pPr>
  </w:style>
  <w:style w:type="character" w:customStyle="1" w:styleId="FWOBlue">
    <w:name w:val="FWO Blue"/>
    <w:rsid w:val="007810D5"/>
    <w:rPr>
      <w:rFonts w:ascii="Arial" w:hAnsi="Arial"/>
      <w:color w:val="0084C2"/>
    </w:rPr>
  </w:style>
  <w:style w:type="character" w:styleId="Hyperlink">
    <w:name w:val="Hyperlink"/>
    <w:uiPriority w:val="99"/>
    <w:rsid w:val="00451CB0"/>
    <w:rPr>
      <w:color w:val="0000FF"/>
      <w:u w:val="single"/>
    </w:rPr>
  </w:style>
  <w:style w:type="paragraph" w:styleId="FootnoteText">
    <w:name w:val="footnote text"/>
    <w:basedOn w:val="Normal"/>
    <w:link w:val="FootnoteTextChar"/>
    <w:unhideWhenUsed/>
    <w:rsid w:val="00601764"/>
    <w:pPr>
      <w:spacing w:before="0"/>
    </w:pPr>
    <w:rPr>
      <w:rFonts w:ascii="Calibri" w:hAnsi="Calibri"/>
      <w:lang w:eastAsia="en-AU"/>
    </w:rPr>
  </w:style>
  <w:style w:type="character" w:customStyle="1" w:styleId="FootnoteTextChar">
    <w:name w:val="Footnote Text Char"/>
    <w:link w:val="FootnoteText"/>
    <w:rsid w:val="00601764"/>
    <w:rPr>
      <w:rFonts w:ascii="Calibri" w:hAnsi="Calibri"/>
    </w:rPr>
  </w:style>
  <w:style w:type="character" w:styleId="FootnoteReference">
    <w:name w:val="footnote reference"/>
    <w:unhideWhenUsed/>
    <w:rsid w:val="00601764"/>
    <w:rPr>
      <w:vertAlign w:val="superscript"/>
    </w:rPr>
  </w:style>
  <w:style w:type="table" w:styleId="TableGrid">
    <w:name w:val="Table Grid"/>
    <w:basedOn w:val="TableNormal"/>
    <w:uiPriority w:val="59"/>
    <w:rsid w:val="0060176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01764"/>
    <w:pPr>
      <w:numPr>
        <w:numId w:val="0"/>
      </w:numPr>
      <w:spacing w:before="480" w:after="0" w:line="276" w:lineRule="auto"/>
      <w:outlineLvl w:val="9"/>
    </w:pPr>
    <w:rPr>
      <w:rFonts w:ascii="Cambria" w:hAnsi="Cambria"/>
      <w:bCs/>
      <w:color w:val="365F91"/>
      <w:szCs w:val="28"/>
      <w:lang w:val="en-US"/>
    </w:rPr>
  </w:style>
  <w:style w:type="paragraph" w:styleId="ListParagraph">
    <w:name w:val="List Paragraph"/>
    <w:basedOn w:val="Normal"/>
    <w:uiPriority w:val="34"/>
    <w:qFormat/>
    <w:rsid w:val="00601764"/>
    <w:pPr>
      <w:spacing w:before="0" w:after="200" w:line="276" w:lineRule="auto"/>
      <w:ind w:left="720"/>
      <w:contextualSpacing/>
    </w:pPr>
    <w:rPr>
      <w:rFonts w:ascii="Calibri" w:hAnsi="Calibri"/>
      <w:sz w:val="22"/>
      <w:szCs w:val="22"/>
      <w:lang w:eastAsia="en-AU"/>
    </w:rPr>
  </w:style>
  <w:style w:type="paragraph" w:customStyle="1" w:styleId="Default">
    <w:name w:val="Default"/>
    <w:rsid w:val="00601764"/>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601764"/>
    <w:rPr>
      <w:sz w:val="16"/>
      <w:szCs w:val="16"/>
    </w:rPr>
  </w:style>
  <w:style w:type="paragraph" w:styleId="CommentText">
    <w:name w:val="annotation text"/>
    <w:basedOn w:val="Normal"/>
    <w:link w:val="CommentTextChar"/>
    <w:uiPriority w:val="99"/>
    <w:unhideWhenUsed/>
    <w:rsid w:val="00601764"/>
    <w:pPr>
      <w:spacing w:before="0" w:after="200"/>
    </w:pPr>
    <w:rPr>
      <w:rFonts w:ascii="Calibri" w:hAnsi="Calibri"/>
      <w:lang w:eastAsia="en-AU"/>
    </w:rPr>
  </w:style>
  <w:style w:type="character" w:customStyle="1" w:styleId="CommentTextChar">
    <w:name w:val="Comment Text Char"/>
    <w:link w:val="CommentText"/>
    <w:uiPriority w:val="99"/>
    <w:rsid w:val="00601764"/>
    <w:rPr>
      <w:rFonts w:ascii="Calibri" w:hAnsi="Calibri"/>
    </w:rPr>
  </w:style>
  <w:style w:type="character" w:styleId="Strong">
    <w:name w:val="Strong"/>
    <w:uiPriority w:val="22"/>
    <w:qFormat/>
    <w:rsid w:val="00601764"/>
    <w:rPr>
      <w:b/>
      <w:bCs/>
    </w:rPr>
  </w:style>
  <w:style w:type="paragraph" w:styleId="BalloonText">
    <w:name w:val="Balloon Text"/>
    <w:basedOn w:val="Normal"/>
    <w:link w:val="BalloonTextChar"/>
    <w:rsid w:val="00601764"/>
    <w:pPr>
      <w:spacing w:before="0"/>
    </w:pPr>
    <w:rPr>
      <w:rFonts w:ascii="Tahoma" w:hAnsi="Tahoma" w:cs="Tahoma"/>
      <w:sz w:val="16"/>
      <w:szCs w:val="16"/>
    </w:rPr>
  </w:style>
  <w:style w:type="character" w:customStyle="1" w:styleId="BalloonTextChar">
    <w:name w:val="Balloon Text Char"/>
    <w:link w:val="BalloonText"/>
    <w:rsid w:val="00601764"/>
    <w:rPr>
      <w:rFonts w:ascii="Tahoma" w:hAnsi="Tahoma" w:cs="Tahoma"/>
      <w:sz w:val="16"/>
      <w:szCs w:val="16"/>
      <w:lang w:eastAsia="en-US"/>
    </w:rPr>
  </w:style>
  <w:style w:type="paragraph" w:styleId="Revision">
    <w:name w:val="Revision"/>
    <w:hidden/>
    <w:uiPriority w:val="99"/>
    <w:semiHidden/>
    <w:rsid w:val="009D5532"/>
    <w:rPr>
      <w:rFonts w:ascii="Arial" w:hAnsi="Arial"/>
      <w:lang w:eastAsia="en-US"/>
    </w:rPr>
  </w:style>
  <w:style w:type="paragraph" w:styleId="CommentSubject">
    <w:name w:val="annotation subject"/>
    <w:basedOn w:val="CommentText"/>
    <w:next w:val="CommentText"/>
    <w:link w:val="CommentSubjectChar"/>
    <w:rsid w:val="0047586A"/>
    <w:pPr>
      <w:spacing w:before="120" w:after="0"/>
    </w:pPr>
    <w:rPr>
      <w:rFonts w:ascii="Arial" w:hAnsi="Arial"/>
      <w:b/>
      <w:bCs/>
      <w:lang w:eastAsia="en-US"/>
    </w:rPr>
  </w:style>
  <w:style w:type="character" w:customStyle="1" w:styleId="CommentSubjectChar">
    <w:name w:val="Comment Subject Char"/>
    <w:basedOn w:val="CommentTextChar"/>
    <w:link w:val="CommentSubject"/>
    <w:rsid w:val="0047586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even.ronson@fwo.gov.au" TargetMode="External"/><Relationship Id="rId4" Type="http://schemas.microsoft.com/office/2007/relationships/stylesWithEffects" Target="stylesWithEffects.xml"/><Relationship Id="rId9" Type="http://schemas.openxmlformats.org/officeDocument/2006/relationships/hyperlink" Target="file:///C:\Users\SW0748\AppData\Local\Microsoft\Windows\Temporary%20Internet%20Files\Content.Outlook\RSB4E09Q\media@fwo.gov.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airwork.gov.au/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1F6B-85C5-461C-96DF-C7DA576D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2327</Words>
  <Characters>13762</Characters>
  <Application>Microsoft Office Word</Application>
  <DocSecurity>0</DocSecurity>
  <Lines>491</Lines>
  <Paragraphs>201</Paragraphs>
  <ScaleCrop>false</ScaleCrop>
  <HeadingPairs>
    <vt:vector size="2" baseType="variant">
      <vt:variant>
        <vt:lpstr>Title</vt:lpstr>
      </vt:variant>
      <vt:variant>
        <vt:i4>1</vt:i4>
      </vt:variant>
    </vt:vector>
  </HeadingPairs>
  <TitlesOfParts>
    <vt:vector size="1" baseType="lpstr">
      <vt:lpstr>Red Rooster Proactive Compliance Deed</vt:lpstr>
    </vt:vector>
  </TitlesOfParts>
  <Company>Fair Work Ombudsman (FWO)</Company>
  <LinksUpToDate>false</LinksUpToDate>
  <CharactersWithSpaces>15888</CharactersWithSpaces>
  <SharedDoc>false</SharedDoc>
  <HLinks>
    <vt:vector size="6" baseType="variant">
      <vt:variant>
        <vt:i4>1441841</vt:i4>
      </vt:variant>
      <vt:variant>
        <vt:i4>2</vt:i4>
      </vt:variant>
      <vt:variant>
        <vt:i4>0</vt:i4>
      </vt:variant>
      <vt:variant>
        <vt:i4>5</vt:i4>
      </vt:variant>
      <vt:variant>
        <vt:lpwstr/>
      </vt:variant>
      <vt:variant>
        <vt:lpwstr>_Toc241544649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Rooster Proactive Compliance Deed</dc:title>
  <dc:creator>Fair Work Ombudsman (FWO)</dc:creator>
  <cp:lastModifiedBy>Jessica Schepis</cp:lastModifiedBy>
  <cp:revision>3</cp:revision>
  <cp:lastPrinted>2014-06-18T06:21:00Z</cp:lastPrinted>
  <dcterms:created xsi:type="dcterms:W3CDTF">2014-08-26T03:43:00Z</dcterms:created>
  <dcterms:modified xsi:type="dcterms:W3CDTF">2014-08-26T03:58:00Z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