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F16B1" w14:textId="54DDB9DD" w:rsidR="00314BCC" w:rsidRDefault="00314BCC" w:rsidP="00314BCC">
      <w:pPr>
        <w:jc w:val="center"/>
        <w:rPr>
          <w:rFonts w:asciiTheme="minorHAnsi" w:hAnsiTheme="minorHAnsi" w:cstheme="minorHAnsi"/>
          <w:b/>
          <w:iCs/>
          <w:sz w:val="26"/>
          <w:szCs w:val="26"/>
        </w:rPr>
      </w:pPr>
      <w:r w:rsidRPr="00314BCC">
        <w:rPr>
          <w:rFonts w:asciiTheme="minorHAnsi" w:hAnsiTheme="minorHAnsi" w:cstheme="minorHAnsi"/>
          <w:b/>
          <w:iCs/>
          <w:sz w:val="26"/>
          <w:szCs w:val="26"/>
        </w:rPr>
        <w:t xml:space="preserve">An adviser’s responsibility: </w:t>
      </w:r>
      <w:r w:rsidR="00A77922">
        <w:rPr>
          <w:rFonts w:asciiTheme="minorHAnsi" w:hAnsiTheme="minorHAnsi" w:cstheme="minorHAnsi"/>
          <w:b/>
          <w:iCs/>
          <w:sz w:val="26"/>
          <w:szCs w:val="26"/>
        </w:rPr>
        <w:t>t</w:t>
      </w:r>
      <w:r w:rsidRPr="00314BCC">
        <w:rPr>
          <w:rFonts w:asciiTheme="minorHAnsi" w:hAnsiTheme="minorHAnsi" w:cstheme="minorHAnsi"/>
          <w:b/>
          <w:iCs/>
          <w:sz w:val="26"/>
          <w:szCs w:val="26"/>
        </w:rPr>
        <w:t xml:space="preserve">he Fair Work Ombudsman’s approach to accessorial liability </w:t>
      </w:r>
    </w:p>
    <w:p w14:paraId="2E965F9B" w14:textId="593040D4" w:rsidR="00314BCC" w:rsidRPr="001F6DAF" w:rsidRDefault="00314BCC" w:rsidP="00314BCC">
      <w:pPr>
        <w:jc w:val="center"/>
        <w:rPr>
          <w:rFonts w:asciiTheme="minorHAnsi" w:hAnsiTheme="minorHAnsi" w:cstheme="minorHAnsi"/>
          <w:b/>
          <w:sz w:val="26"/>
          <w:szCs w:val="26"/>
        </w:rPr>
      </w:pPr>
      <w:r>
        <w:rPr>
          <w:rFonts w:asciiTheme="minorHAnsi" w:hAnsiTheme="minorHAnsi" w:cstheme="minorHAnsi"/>
          <w:b/>
          <w:iCs/>
          <w:sz w:val="26"/>
          <w:szCs w:val="26"/>
        </w:rPr>
        <w:t xml:space="preserve">Address to </w:t>
      </w:r>
      <w:r w:rsidR="00A77922">
        <w:rPr>
          <w:rFonts w:asciiTheme="minorHAnsi" w:hAnsiTheme="minorHAnsi" w:cstheme="minorHAnsi"/>
          <w:b/>
          <w:iCs/>
          <w:sz w:val="26"/>
          <w:szCs w:val="26"/>
        </w:rPr>
        <w:t xml:space="preserve">the </w:t>
      </w:r>
      <w:r w:rsidRPr="00314BCC">
        <w:rPr>
          <w:rFonts w:asciiTheme="minorHAnsi" w:hAnsiTheme="minorHAnsi" w:cstheme="minorHAnsi"/>
          <w:b/>
          <w:iCs/>
          <w:sz w:val="26"/>
          <w:szCs w:val="26"/>
        </w:rPr>
        <w:t>A</w:t>
      </w:r>
      <w:r>
        <w:rPr>
          <w:rFonts w:asciiTheme="minorHAnsi" w:hAnsiTheme="minorHAnsi" w:cstheme="minorHAnsi"/>
          <w:b/>
          <w:iCs/>
          <w:sz w:val="26"/>
          <w:szCs w:val="26"/>
        </w:rPr>
        <w:t xml:space="preserve">ustralian </w:t>
      </w:r>
      <w:r w:rsidRPr="00314BCC">
        <w:rPr>
          <w:rFonts w:asciiTheme="minorHAnsi" w:hAnsiTheme="minorHAnsi" w:cstheme="minorHAnsi"/>
          <w:b/>
          <w:iCs/>
          <w:sz w:val="26"/>
          <w:szCs w:val="26"/>
        </w:rPr>
        <w:t>H</w:t>
      </w:r>
      <w:r>
        <w:rPr>
          <w:rFonts w:asciiTheme="minorHAnsi" w:hAnsiTheme="minorHAnsi" w:cstheme="minorHAnsi"/>
          <w:b/>
          <w:iCs/>
          <w:sz w:val="26"/>
          <w:szCs w:val="26"/>
        </w:rPr>
        <w:t xml:space="preserve">uman </w:t>
      </w:r>
      <w:r w:rsidRPr="00314BCC">
        <w:rPr>
          <w:rFonts w:asciiTheme="minorHAnsi" w:hAnsiTheme="minorHAnsi" w:cstheme="minorHAnsi"/>
          <w:b/>
          <w:iCs/>
          <w:sz w:val="26"/>
          <w:szCs w:val="26"/>
        </w:rPr>
        <w:t>R</w:t>
      </w:r>
      <w:r>
        <w:rPr>
          <w:rFonts w:asciiTheme="minorHAnsi" w:hAnsiTheme="minorHAnsi" w:cstheme="minorHAnsi"/>
          <w:b/>
          <w:iCs/>
          <w:sz w:val="26"/>
          <w:szCs w:val="26"/>
        </w:rPr>
        <w:t xml:space="preserve">esources </w:t>
      </w:r>
      <w:r w:rsidRPr="00314BCC">
        <w:rPr>
          <w:rFonts w:asciiTheme="minorHAnsi" w:hAnsiTheme="minorHAnsi" w:cstheme="minorHAnsi"/>
          <w:b/>
          <w:iCs/>
          <w:sz w:val="26"/>
          <w:szCs w:val="26"/>
        </w:rPr>
        <w:t>I</w:t>
      </w:r>
      <w:r>
        <w:rPr>
          <w:rFonts w:asciiTheme="minorHAnsi" w:hAnsiTheme="minorHAnsi" w:cstheme="minorHAnsi"/>
          <w:b/>
          <w:iCs/>
          <w:sz w:val="26"/>
          <w:szCs w:val="26"/>
        </w:rPr>
        <w:t>nstitute</w:t>
      </w:r>
      <w:r w:rsidR="00A77922">
        <w:rPr>
          <w:rFonts w:asciiTheme="minorHAnsi" w:hAnsiTheme="minorHAnsi" w:cstheme="minorHAnsi"/>
          <w:b/>
          <w:iCs/>
          <w:sz w:val="26"/>
          <w:szCs w:val="26"/>
        </w:rPr>
        <w:t xml:space="preserve"> (AHRI)</w:t>
      </w:r>
      <w:r>
        <w:rPr>
          <w:rFonts w:asciiTheme="minorHAnsi" w:hAnsiTheme="minorHAnsi" w:cstheme="minorHAnsi"/>
          <w:b/>
          <w:iCs/>
          <w:sz w:val="26"/>
          <w:szCs w:val="26"/>
        </w:rPr>
        <w:t xml:space="preserve"> Employee Relations </w:t>
      </w:r>
      <w:r w:rsidRPr="00314BCC">
        <w:rPr>
          <w:rFonts w:asciiTheme="minorHAnsi" w:hAnsiTheme="minorHAnsi" w:cstheme="minorHAnsi"/>
          <w:b/>
          <w:iCs/>
          <w:sz w:val="26"/>
          <w:szCs w:val="26"/>
        </w:rPr>
        <w:t>/</w:t>
      </w:r>
      <w:r>
        <w:rPr>
          <w:rFonts w:asciiTheme="minorHAnsi" w:hAnsiTheme="minorHAnsi" w:cstheme="minorHAnsi"/>
          <w:b/>
          <w:iCs/>
          <w:sz w:val="26"/>
          <w:szCs w:val="26"/>
        </w:rPr>
        <w:t xml:space="preserve"> </w:t>
      </w:r>
      <w:r w:rsidRPr="00314BCC">
        <w:rPr>
          <w:rFonts w:asciiTheme="minorHAnsi" w:hAnsiTheme="minorHAnsi" w:cstheme="minorHAnsi"/>
          <w:b/>
          <w:iCs/>
          <w:sz w:val="26"/>
          <w:szCs w:val="26"/>
        </w:rPr>
        <w:t xml:space="preserve">Industrial Relations Network NSW </w:t>
      </w:r>
      <w:r w:rsidRPr="001F6DAF">
        <w:rPr>
          <w:rFonts w:asciiTheme="minorHAnsi" w:hAnsiTheme="minorHAnsi" w:cstheme="minorHAnsi"/>
          <w:b/>
          <w:sz w:val="26"/>
          <w:szCs w:val="26"/>
        </w:rPr>
        <w:t>by Natalie James, Fair Work Ombudsman</w:t>
      </w:r>
    </w:p>
    <w:p w14:paraId="77EDD98A" w14:textId="6FACF58A" w:rsidR="00314BCC" w:rsidRDefault="00314BCC" w:rsidP="00314BCC">
      <w:pPr>
        <w:jc w:val="center"/>
        <w:rPr>
          <w:rFonts w:ascii="Calibri" w:eastAsiaTheme="minorHAnsi" w:hAnsi="Calibri"/>
          <w:b/>
          <w:iCs/>
          <w:sz w:val="32"/>
          <w:szCs w:val="32"/>
          <w:lang w:eastAsia="en-US"/>
        </w:rPr>
      </w:pPr>
      <w:r>
        <w:rPr>
          <w:rFonts w:asciiTheme="minorHAnsi" w:hAnsiTheme="minorHAnsi" w:cstheme="minorHAnsi"/>
          <w:b/>
          <w:sz w:val="26"/>
          <w:szCs w:val="26"/>
        </w:rPr>
        <w:t>Wednesday, 27</w:t>
      </w:r>
      <w:r w:rsidRPr="001F6DAF">
        <w:rPr>
          <w:rFonts w:asciiTheme="minorHAnsi" w:hAnsiTheme="minorHAnsi" w:cstheme="minorHAnsi"/>
          <w:b/>
          <w:sz w:val="26"/>
          <w:szCs w:val="26"/>
        </w:rPr>
        <w:t xml:space="preserve"> </w:t>
      </w:r>
      <w:r>
        <w:rPr>
          <w:rFonts w:asciiTheme="minorHAnsi" w:hAnsiTheme="minorHAnsi" w:cstheme="minorHAnsi"/>
          <w:b/>
          <w:sz w:val="26"/>
          <w:szCs w:val="26"/>
        </w:rPr>
        <w:t>July 2016</w:t>
      </w:r>
    </w:p>
    <w:p w14:paraId="5954B16F" w14:textId="77777777" w:rsidR="00314BCC" w:rsidRDefault="00314BCC" w:rsidP="00314BCC">
      <w:pPr>
        <w:jc w:val="center"/>
        <w:rPr>
          <w:rFonts w:asciiTheme="minorHAnsi" w:hAnsiTheme="minorHAnsi" w:cstheme="minorHAnsi"/>
          <w:b/>
          <w:iCs/>
          <w:sz w:val="26"/>
          <w:szCs w:val="26"/>
        </w:rPr>
      </w:pPr>
    </w:p>
    <w:p w14:paraId="145107DA" w14:textId="77777777" w:rsidR="00314BCC" w:rsidRPr="00314BCC" w:rsidRDefault="00314BCC" w:rsidP="00314BCC">
      <w:pPr>
        <w:jc w:val="center"/>
        <w:rPr>
          <w:rFonts w:asciiTheme="minorHAnsi" w:hAnsiTheme="minorHAnsi" w:cstheme="minorHAnsi"/>
          <w:b/>
          <w:iCs/>
          <w:sz w:val="26"/>
          <w:szCs w:val="26"/>
        </w:rPr>
      </w:pPr>
    </w:p>
    <w:p w14:paraId="7D6FDA76" w14:textId="3BCAD728" w:rsidR="004F09A9" w:rsidRPr="00314BCC" w:rsidRDefault="004F09A9" w:rsidP="00314BCC">
      <w:pPr>
        <w:spacing w:after="320" w:line="360" w:lineRule="auto"/>
        <w:jc w:val="center"/>
        <w:rPr>
          <w:rFonts w:ascii="Calibri" w:eastAsiaTheme="minorHAnsi" w:hAnsi="Calibri"/>
          <w:b/>
          <w:iCs/>
          <w:sz w:val="22"/>
          <w:szCs w:val="22"/>
          <w:lang w:eastAsia="en-US"/>
        </w:rPr>
      </w:pPr>
      <w:r w:rsidRPr="00314BCC">
        <w:rPr>
          <w:rFonts w:ascii="Calibri" w:eastAsiaTheme="minorHAnsi" w:hAnsi="Calibri"/>
          <w:b/>
          <w:iCs/>
          <w:sz w:val="22"/>
          <w:szCs w:val="22"/>
          <w:lang w:eastAsia="en-US"/>
        </w:rPr>
        <w:t xml:space="preserve">Advisers </w:t>
      </w:r>
      <w:r w:rsidR="00A23A2E" w:rsidRPr="00314BCC">
        <w:rPr>
          <w:rFonts w:ascii="Calibri" w:eastAsiaTheme="minorHAnsi" w:hAnsi="Calibri"/>
          <w:b/>
          <w:iCs/>
          <w:sz w:val="22"/>
          <w:szCs w:val="22"/>
          <w:lang w:eastAsia="en-US"/>
        </w:rPr>
        <w:t>- it’s a balancing act</w:t>
      </w:r>
    </w:p>
    <w:p w14:paraId="38F64CAB" w14:textId="7B1258BA"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It’s</w:t>
      </w:r>
      <w:r w:rsidR="003C59E7" w:rsidRPr="00314BCC">
        <w:rPr>
          <w:rFonts w:asciiTheme="minorHAnsi" w:eastAsiaTheme="minorHAnsi" w:hAnsiTheme="minorHAnsi" w:cstheme="minorHAnsi"/>
          <w:iCs/>
          <w:sz w:val="22"/>
          <w:szCs w:val="22"/>
          <w:lang w:eastAsia="en-US"/>
        </w:rPr>
        <w:t xml:space="preserve"> a tough job being an adviser.  </w:t>
      </w:r>
      <w:r w:rsidRPr="00314BCC">
        <w:rPr>
          <w:rFonts w:asciiTheme="minorHAnsi" w:eastAsiaTheme="minorHAnsi" w:hAnsiTheme="minorHAnsi" w:cstheme="minorHAnsi"/>
          <w:iCs/>
          <w:sz w:val="22"/>
          <w:szCs w:val="22"/>
          <w:lang w:eastAsia="en-US"/>
        </w:rPr>
        <w:t xml:space="preserve">A real balancing act. </w:t>
      </w:r>
    </w:p>
    <w:p w14:paraId="5BE8077F" w14:textId="4E1FE187"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Like your clients or employers, I have advisers. Lawyers, who help me understand and manage my legal risk…..often this takes the form of them telling me not to tweet things…..H</w:t>
      </w:r>
      <w:r w:rsidR="00A23A2E" w:rsidRPr="00314BCC">
        <w:rPr>
          <w:rFonts w:asciiTheme="minorHAnsi" w:eastAsiaTheme="minorHAnsi" w:hAnsiTheme="minorHAnsi" w:cstheme="minorHAnsi"/>
          <w:iCs/>
          <w:sz w:val="22"/>
          <w:szCs w:val="22"/>
          <w:lang w:eastAsia="en-US"/>
        </w:rPr>
        <w:t xml:space="preserve">uman </w:t>
      </w:r>
      <w:r w:rsidRPr="00314BCC">
        <w:rPr>
          <w:rFonts w:asciiTheme="minorHAnsi" w:eastAsiaTheme="minorHAnsi" w:hAnsiTheme="minorHAnsi" w:cstheme="minorHAnsi"/>
          <w:iCs/>
          <w:sz w:val="22"/>
          <w:szCs w:val="22"/>
          <w:lang w:eastAsia="en-US"/>
        </w:rPr>
        <w:t>R</w:t>
      </w:r>
      <w:r w:rsidR="00A23A2E" w:rsidRPr="00314BCC">
        <w:rPr>
          <w:rFonts w:asciiTheme="minorHAnsi" w:eastAsiaTheme="minorHAnsi" w:hAnsiTheme="minorHAnsi" w:cstheme="minorHAnsi"/>
          <w:iCs/>
          <w:sz w:val="22"/>
          <w:szCs w:val="22"/>
          <w:lang w:eastAsia="en-US"/>
        </w:rPr>
        <w:t>esource</w:t>
      </w:r>
      <w:r w:rsidR="00A45583" w:rsidRPr="00314BCC">
        <w:rPr>
          <w:rFonts w:asciiTheme="minorHAnsi" w:eastAsiaTheme="minorHAnsi" w:hAnsiTheme="minorHAnsi" w:cstheme="minorHAnsi"/>
          <w:iCs/>
          <w:sz w:val="22"/>
          <w:szCs w:val="22"/>
          <w:lang w:eastAsia="en-US"/>
        </w:rPr>
        <w:t>s</w:t>
      </w:r>
      <w:r w:rsidRPr="00314BCC">
        <w:rPr>
          <w:rFonts w:asciiTheme="minorHAnsi" w:eastAsiaTheme="minorHAnsi" w:hAnsiTheme="minorHAnsi" w:cstheme="minorHAnsi"/>
          <w:iCs/>
          <w:sz w:val="22"/>
          <w:szCs w:val="22"/>
          <w:lang w:eastAsia="en-US"/>
        </w:rPr>
        <w:t xml:space="preserve"> and other Corporate advisers who help me understand the </w:t>
      </w:r>
      <w:r w:rsidR="00A23A2E" w:rsidRPr="00314BCC">
        <w:rPr>
          <w:rFonts w:asciiTheme="minorHAnsi" w:eastAsiaTheme="minorHAnsi" w:hAnsiTheme="minorHAnsi" w:cstheme="minorHAnsi"/>
          <w:iCs/>
          <w:sz w:val="22"/>
          <w:szCs w:val="22"/>
          <w:lang w:eastAsia="en-US"/>
        </w:rPr>
        <w:t xml:space="preserve">limits </w:t>
      </w:r>
      <w:r w:rsidRPr="00314BCC">
        <w:rPr>
          <w:rFonts w:asciiTheme="minorHAnsi" w:eastAsiaTheme="minorHAnsi" w:hAnsiTheme="minorHAnsi" w:cstheme="minorHAnsi"/>
          <w:iCs/>
          <w:sz w:val="22"/>
          <w:szCs w:val="22"/>
          <w:lang w:eastAsia="en-US"/>
        </w:rPr>
        <w:t xml:space="preserve">of my regulatory world….even when I want to smash through those boundaries </w:t>
      </w:r>
      <w:r w:rsidR="00A23A2E" w:rsidRPr="00314BCC">
        <w:rPr>
          <w:rFonts w:asciiTheme="minorHAnsi" w:eastAsiaTheme="minorHAnsi" w:hAnsiTheme="minorHAnsi" w:cstheme="minorHAnsi"/>
          <w:iCs/>
          <w:sz w:val="22"/>
          <w:szCs w:val="22"/>
          <w:lang w:eastAsia="en-US"/>
        </w:rPr>
        <w:t>to achieve</w:t>
      </w:r>
      <w:r w:rsidRPr="00314BCC">
        <w:rPr>
          <w:rFonts w:asciiTheme="minorHAnsi" w:eastAsiaTheme="minorHAnsi" w:hAnsiTheme="minorHAnsi" w:cstheme="minorHAnsi"/>
          <w:iCs/>
          <w:sz w:val="22"/>
          <w:szCs w:val="22"/>
          <w:lang w:eastAsia="en-US"/>
        </w:rPr>
        <w:t xml:space="preserve"> some greater purpose. </w:t>
      </w:r>
    </w:p>
    <w:p w14:paraId="6F7488FF" w14:textId="381BE3DE"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It’s a tough job</w:t>
      </w:r>
      <w:r w:rsidR="00A23A2E" w:rsidRPr="00314BCC">
        <w:rPr>
          <w:rFonts w:asciiTheme="minorHAnsi" w:eastAsiaTheme="minorHAnsi" w:hAnsiTheme="minorHAnsi" w:cstheme="minorHAnsi"/>
          <w:iCs/>
          <w:sz w:val="22"/>
          <w:szCs w:val="22"/>
          <w:lang w:eastAsia="en-US"/>
        </w:rPr>
        <w:t>,</w:t>
      </w:r>
      <w:r w:rsidRPr="00314BCC">
        <w:rPr>
          <w:rFonts w:asciiTheme="minorHAnsi" w:eastAsiaTheme="minorHAnsi" w:hAnsiTheme="minorHAnsi" w:cstheme="minorHAnsi"/>
          <w:iCs/>
          <w:sz w:val="22"/>
          <w:szCs w:val="22"/>
          <w:lang w:eastAsia="en-US"/>
        </w:rPr>
        <w:t xml:space="preserve"> balancing the desires of CEOs and Boards to achieve organisational objectives while managing the risks </w:t>
      </w:r>
      <w:r w:rsidR="00A23A2E" w:rsidRPr="00314BCC">
        <w:rPr>
          <w:rFonts w:asciiTheme="minorHAnsi" w:eastAsiaTheme="minorHAnsi" w:hAnsiTheme="minorHAnsi" w:cstheme="minorHAnsi"/>
          <w:iCs/>
          <w:sz w:val="22"/>
          <w:szCs w:val="22"/>
          <w:lang w:eastAsia="en-US"/>
        </w:rPr>
        <w:t xml:space="preserve">of </w:t>
      </w:r>
      <w:r w:rsidRPr="00314BCC">
        <w:rPr>
          <w:rFonts w:asciiTheme="minorHAnsi" w:eastAsiaTheme="minorHAnsi" w:hAnsiTheme="minorHAnsi" w:cstheme="minorHAnsi"/>
          <w:iCs/>
          <w:sz w:val="22"/>
          <w:szCs w:val="22"/>
          <w:lang w:eastAsia="en-US"/>
        </w:rPr>
        <w:t xml:space="preserve">the many and varied frameworks we must all operate within. </w:t>
      </w:r>
    </w:p>
    <w:p w14:paraId="64B8941F" w14:textId="7E137176"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It’s a tough job</w:t>
      </w:r>
      <w:r w:rsidR="00DE56C7" w:rsidRPr="00314BCC">
        <w:rPr>
          <w:rFonts w:asciiTheme="minorHAnsi" w:eastAsiaTheme="minorHAnsi" w:hAnsiTheme="minorHAnsi" w:cstheme="minorHAnsi"/>
          <w:iCs/>
          <w:sz w:val="22"/>
          <w:szCs w:val="22"/>
          <w:lang w:eastAsia="en-US"/>
        </w:rPr>
        <w:t>, getting</w:t>
      </w:r>
      <w:r w:rsidRPr="00314BCC">
        <w:rPr>
          <w:rFonts w:asciiTheme="minorHAnsi" w:eastAsiaTheme="minorHAnsi" w:hAnsiTheme="minorHAnsi" w:cstheme="minorHAnsi"/>
          <w:iCs/>
          <w:sz w:val="22"/>
          <w:szCs w:val="22"/>
          <w:lang w:eastAsia="en-US"/>
        </w:rPr>
        <w:t xml:space="preserve"> senior people who are set on a path, to hear the risks, the pitfalls, the possible consequences </w:t>
      </w:r>
      <w:r w:rsidR="00A23A2E" w:rsidRPr="00314BCC">
        <w:rPr>
          <w:rFonts w:asciiTheme="minorHAnsi" w:eastAsiaTheme="minorHAnsi" w:hAnsiTheme="minorHAnsi" w:cstheme="minorHAnsi"/>
          <w:iCs/>
          <w:sz w:val="22"/>
          <w:szCs w:val="22"/>
          <w:lang w:eastAsia="en-US"/>
        </w:rPr>
        <w:t>they may have not identified</w:t>
      </w:r>
      <w:r w:rsidRPr="00314BCC">
        <w:rPr>
          <w:rFonts w:asciiTheme="minorHAnsi" w:eastAsiaTheme="minorHAnsi" w:hAnsiTheme="minorHAnsi" w:cstheme="minorHAnsi"/>
          <w:iCs/>
          <w:sz w:val="22"/>
          <w:szCs w:val="22"/>
          <w:lang w:eastAsia="en-US"/>
        </w:rPr>
        <w:t xml:space="preserve">.  </w:t>
      </w:r>
    </w:p>
    <w:p w14:paraId="18176246" w14:textId="77777777"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It’s an especially tough job when you have to tell someone this sort of thing AFTER a course of action has already been embarked upon.</w:t>
      </w:r>
    </w:p>
    <w:p w14:paraId="5421D851" w14:textId="0C84E3CF"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Or when you’ve found a problem with something the organisation has done – like a systems error that means people haven’t been paid properly. Or when you have to address a less</w:t>
      </w:r>
      <w:r w:rsidR="00B04C23" w:rsidRPr="00314BCC">
        <w:rPr>
          <w:rFonts w:asciiTheme="minorHAnsi" w:eastAsiaTheme="minorHAnsi" w:hAnsiTheme="minorHAnsi" w:cstheme="minorHAnsi"/>
          <w:iCs/>
          <w:sz w:val="22"/>
          <w:szCs w:val="22"/>
          <w:lang w:eastAsia="en-US"/>
        </w:rPr>
        <w:t>-</w:t>
      </w:r>
      <w:r w:rsidRPr="00314BCC">
        <w:rPr>
          <w:rFonts w:asciiTheme="minorHAnsi" w:eastAsiaTheme="minorHAnsi" w:hAnsiTheme="minorHAnsi" w:cstheme="minorHAnsi"/>
          <w:iCs/>
          <w:sz w:val="22"/>
          <w:szCs w:val="22"/>
          <w:lang w:eastAsia="en-US"/>
        </w:rPr>
        <w:t>than</w:t>
      </w:r>
      <w:r w:rsidR="00B04C23" w:rsidRPr="00314BCC">
        <w:rPr>
          <w:rFonts w:asciiTheme="minorHAnsi" w:eastAsiaTheme="minorHAnsi" w:hAnsiTheme="minorHAnsi" w:cstheme="minorHAnsi"/>
          <w:iCs/>
          <w:sz w:val="22"/>
          <w:szCs w:val="22"/>
          <w:lang w:eastAsia="en-US"/>
        </w:rPr>
        <w:t>-</w:t>
      </w:r>
      <w:r w:rsidRPr="00314BCC">
        <w:rPr>
          <w:rFonts w:asciiTheme="minorHAnsi" w:eastAsiaTheme="minorHAnsi" w:hAnsiTheme="minorHAnsi" w:cstheme="minorHAnsi"/>
          <w:iCs/>
          <w:sz w:val="22"/>
          <w:szCs w:val="22"/>
          <w:lang w:eastAsia="en-US"/>
        </w:rPr>
        <w:t>perfe</w:t>
      </w:r>
      <w:r w:rsidR="003C59E7" w:rsidRPr="00314BCC">
        <w:rPr>
          <w:rFonts w:asciiTheme="minorHAnsi" w:eastAsiaTheme="minorHAnsi" w:hAnsiTheme="minorHAnsi" w:cstheme="minorHAnsi"/>
          <w:iCs/>
          <w:sz w:val="22"/>
          <w:szCs w:val="22"/>
          <w:lang w:eastAsia="en-US"/>
        </w:rPr>
        <w:t>c</w:t>
      </w:r>
      <w:r w:rsidRPr="00314BCC">
        <w:rPr>
          <w:rFonts w:asciiTheme="minorHAnsi" w:eastAsiaTheme="minorHAnsi" w:hAnsiTheme="minorHAnsi" w:cstheme="minorHAnsi"/>
          <w:iCs/>
          <w:sz w:val="22"/>
          <w:szCs w:val="22"/>
          <w:lang w:eastAsia="en-US"/>
        </w:rPr>
        <w:t xml:space="preserve">t process that is being challenged - like </w:t>
      </w:r>
      <w:r w:rsidR="003C59E7" w:rsidRPr="00314BCC">
        <w:rPr>
          <w:rFonts w:asciiTheme="minorHAnsi" w:eastAsiaTheme="minorHAnsi" w:hAnsiTheme="minorHAnsi" w:cstheme="minorHAnsi"/>
          <w:iCs/>
          <w:sz w:val="22"/>
          <w:szCs w:val="22"/>
          <w:lang w:eastAsia="en-US"/>
        </w:rPr>
        <w:t>a dis</w:t>
      </w:r>
      <w:r w:rsidRPr="00314BCC">
        <w:rPr>
          <w:rFonts w:asciiTheme="minorHAnsi" w:eastAsiaTheme="minorHAnsi" w:hAnsiTheme="minorHAnsi" w:cstheme="minorHAnsi"/>
          <w:iCs/>
          <w:sz w:val="22"/>
          <w:szCs w:val="22"/>
          <w:lang w:eastAsia="en-US"/>
        </w:rPr>
        <w:t>missal. And you suspect the process wasn’t quite what it should have been...</w:t>
      </w:r>
      <w:r w:rsidR="003C59E7" w:rsidRPr="00314BCC">
        <w:rPr>
          <w:rFonts w:asciiTheme="minorHAnsi" w:eastAsiaTheme="minorHAnsi" w:hAnsiTheme="minorHAnsi" w:cstheme="minorHAnsi"/>
          <w:iCs/>
          <w:sz w:val="22"/>
          <w:szCs w:val="22"/>
          <w:lang w:eastAsia="en-US"/>
        </w:rPr>
        <w:t xml:space="preserve"> </w:t>
      </w:r>
      <w:r w:rsidRPr="00314BCC">
        <w:rPr>
          <w:rFonts w:asciiTheme="minorHAnsi" w:eastAsiaTheme="minorHAnsi" w:hAnsiTheme="minorHAnsi" w:cstheme="minorHAnsi"/>
          <w:iCs/>
          <w:sz w:val="22"/>
          <w:szCs w:val="22"/>
          <w:lang w:eastAsia="en-US"/>
        </w:rPr>
        <w:t xml:space="preserve">leading you to wonder, (not for the first time), why </w:t>
      </w:r>
      <w:r w:rsidR="00A23A2E" w:rsidRPr="00314BCC">
        <w:rPr>
          <w:rFonts w:asciiTheme="minorHAnsi" w:eastAsiaTheme="minorHAnsi" w:hAnsiTheme="minorHAnsi" w:cstheme="minorHAnsi"/>
          <w:iCs/>
          <w:sz w:val="22"/>
          <w:szCs w:val="22"/>
          <w:lang w:eastAsia="en-US"/>
        </w:rPr>
        <w:t xml:space="preserve">did </w:t>
      </w:r>
      <w:r w:rsidRPr="00314BCC">
        <w:rPr>
          <w:rFonts w:asciiTheme="minorHAnsi" w:eastAsiaTheme="minorHAnsi" w:hAnsiTheme="minorHAnsi" w:cstheme="minorHAnsi"/>
          <w:iCs/>
          <w:sz w:val="22"/>
          <w:szCs w:val="22"/>
          <w:lang w:eastAsia="en-US"/>
        </w:rPr>
        <w:t>the line area not come to you for advice earlier</w:t>
      </w:r>
      <w:r w:rsidR="00A23A2E" w:rsidRPr="00314BCC">
        <w:rPr>
          <w:rFonts w:asciiTheme="minorHAnsi" w:eastAsiaTheme="minorHAnsi" w:hAnsiTheme="minorHAnsi" w:cstheme="minorHAnsi"/>
          <w:iCs/>
          <w:sz w:val="22"/>
          <w:szCs w:val="22"/>
          <w:lang w:eastAsia="en-US"/>
        </w:rPr>
        <w:t>?!</w:t>
      </w:r>
    </w:p>
    <w:p w14:paraId="317480CE" w14:textId="612420C3"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I’ve also been </w:t>
      </w:r>
      <w:r w:rsidR="00B04C23" w:rsidRPr="00314BCC">
        <w:rPr>
          <w:rFonts w:asciiTheme="minorHAnsi" w:eastAsiaTheme="minorHAnsi" w:hAnsiTheme="minorHAnsi" w:cstheme="minorHAnsi"/>
          <w:iCs/>
          <w:sz w:val="22"/>
          <w:szCs w:val="22"/>
          <w:lang w:eastAsia="en-US"/>
        </w:rPr>
        <w:t xml:space="preserve">an </w:t>
      </w:r>
      <w:r w:rsidRPr="00314BCC">
        <w:rPr>
          <w:rFonts w:asciiTheme="minorHAnsi" w:eastAsiaTheme="minorHAnsi" w:hAnsiTheme="minorHAnsi" w:cstheme="minorHAnsi"/>
          <w:iCs/>
          <w:sz w:val="22"/>
          <w:szCs w:val="22"/>
          <w:lang w:eastAsia="en-US"/>
        </w:rPr>
        <w:t>adviser, so I know how that feels!</w:t>
      </w:r>
    </w:p>
    <w:p w14:paraId="5D7E2F75" w14:textId="0BE2E1FB"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You need to constantly balance a number of </w:t>
      </w:r>
      <w:r w:rsidR="00170648" w:rsidRPr="00314BCC">
        <w:rPr>
          <w:rFonts w:asciiTheme="minorHAnsi" w:eastAsiaTheme="minorHAnsi" w:hAnsiTheme="minorHAnsi" w:cstheme="minorHAnsi"/>
          <w:iCs/>
          <w:sz w:val="22"/>
          <w:szCs w:val="22"/>
          <w:lang w:eastAsia="en-US"/>
        </w:rPr>
        <w:t>elements</w:t>
      </w:r>
      <w:r w:rsidRPr="00314BCC">
        <w:rPr>
          <w:rFonts w:asciiTheme="minorHAnsi" w:eastAsiaTheme="minorHAnsi" w:hAnsiTheme="minorHAnsi" w:cstheme="minorHAnsi"/>
          <w:iCs/>
          <w:sz w:val="22"/>
          <w:szCs w:val="22"/>
          <w:lang w:eastAsia="en-US"/>
        </w:rPr>
        <w:t xml:space="preserve">: your professional and ethical responsibilities; the need to work with the organisation to help it achieve its strategic goals; the need to broker solutions, not just raise problems.  </w:t>
      </w:r>
    </w:p>
    <w:p w14:paraId="4C5FB011" w14:textId="0DF25558" w:rsidR="00170648" w:rsidRPr="00314BCC" w:rsidRDefault="00170648"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Tensions can arise when these elements pull you in different directions.</w:t>
      </w:r>
    </w:p>
    <w:p w14:paraId="4CEF866D" w14:textId="1E011ABC" w:rsidR="004F09A9" w:rsidRPr="00314BCC" w:rsidRDefault="00170648"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lastRenderedPageBreak/>
        <w:t>A</w:t>
      </w:r>
      <w:r w:rsidR="004F09A9" w:rsidRPr="00314BCC">
        <w:rPr>
          <w:rFonts w:asciiTheme="minorHAnsi" w:eastAsiaTheme="minorHAnsi" w:hAnsiTheme="minorHAnsi" w:cstheme="minorHAnsi"/>
          <w:iCs/>
          <w:sz w:val="22"/>
          <w:szCs w:val="22"/>
          <w:lang w:eastAsia="en-US"/>
        </w:rPr>
        <w:t>bove all, you must explain the rules to your clients</w:t>
      </w:r>
      <w:r w:rsidR="00A23A2E" w:rsidRPr="00314BCC">
        <w:rPr>
          <w:rFonts w:asciiTheme="minorHAnsi" w:eastAsiaTheme="minorHAnsi" w:hAnsiTheme="minorHAnsi" w:cstheme="minorHAnsi"/>
          <w:iCs/>
          <w:sz w:val="22"/>
          <w:szCs w:val="22"/>
          <w:lang w:eastAsia="en-US"/>
        </w:rPr>
        <w:t>, make it clear when they are in danger of breaking them</w:t>
      </w:r>
      <w:r w:rsidR="004F09A9" w:rsidRPr="00314BCC">
        <w:rPr>
          <w:rFonts w:asciiTheme="minorHAnsi" w:eastAsiaTheme="minorHAnsi" w:hAnsiTheme="minorHAnsi" w:cstheme="minorHAnsi"/>
          <w:iCs/>
          <w:sz w:val="22"/>
          <w:szCs w:val="22"/>
          <w:lang w:eastAsia="en-US"/>
        </w:rPr>
        <w:t xml:space="preserve"> and not become involved in breaches of the law</w:t>
      </w:r>
      <w:r w:rsidRPr="00314BCC">
        <w:rPr>
          <w:rFonts w:asciiTheme="minorHAnsi" w:eastAsiaTheme="minorHAnsi" w:hAnsiTheme="minorHAnsi" w:cstheme="minorHAnsi"/>
          <w:iCs/>
          <w:sz w:val="22"/>
          <w:szCs w:val="22"/>
          <w:lang w:eastAsia="en-US"/>
        </w:rPr>
        <w:t xml:space="preserve"> yourself</w:t>
      </w:r>
      <w:r w:rsidR="004F09A9" w:rsidRPr="00314BCC">
        <w:rPr>
          <w:rFonts w:asciiTheme="minorHAnsi" w:eastAsiaTheme="minorHAnsi" w:hAnsiTheme="minorHAnsi" w:cstheme="minorHAnsi"/>
          <w:iCs/>
          <w:sz w:val="22"/>
          <w:szCs w:val="22"/>
          <w:lang w:eastAsia="en-US"/>
        </w:rPr>
        <w:t xml:space="preserve">. </w:t>
      </w:r>
    </w:p>
    <w:p w14:paraId="1C04E528" w14:textId="2D7B52E2"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To do so risks action not just against the organisation</w:t>
      </w:r>
      <w:r w:rsidR="00A23A2E" w:rsidRPr="00314BCC">
        <w:rPr>
          <w:rFonts w:asciiTheme="minorHAnsi" w:eastAsiaTheme="minorHAnsi" w:hAnsiTheme="minorHAnsi" w:cstheme="minorHAnsi"/>
          <w:iCs/>
          <w:sz w:val="22"/>
          <w:szCs w:val="22"/>
          <w:lang w:eastAsia="en-US"/>
        </w:rPr>
        <w:t xml:space="preserve">. </w:t>
      </w:r>
      <w:r w:rsidR="00170648" w:rsidRPr="00314BCC">
        <w:rPr>
          <w:rFonts w:asciiTheme="minorHAnsi" w:eastAsiaTheme="minorHAnsi" w:hAnsiTheme="minorHAnsi" w:cstheme="minorHAnsi"/>
          <w:iCs/>
          <w:sz w:val="22"/>
          <w:szCs w:val="22"/>
          <w:lang w:eastAsia="en-US"/>
        </w:rPr>
        <w:t>In</w:t>
      </w:r>
      <w:r w:rsidR="00A23A2E" w:rsidRPr="00314BCC">
        <w:rPr>
          <w:rFonts w:asciiTheme="minorHAnsi" w:eastAsiaTheme="minorHAnsi" w:hAnsiTheme="minorHAnsi" w:cstheme="minorHAnsi"/>
          <w:iCs/>
          <w:sz w:val="22"/>
          <w:szCs w:val="22"/>
          <w:lang w:eastAsia="en-US"/>
        </w:rPr>
        <w:t xml:space="preserve"> the case of workplace laws, if you are </w:t>
      </w:r>
      <w:r w:rsidR="00DE56C7" w:rsidRPr="00314BCC">
        <w:rPr>
          <w:rFonts w:asciiTheme="minorHAnsi" w:eastAsiaTheme="minorHAnsi" w:hAnsiTheme="minorHAnsi" w:cstheme="minorHAnsi"/>
          <w:iCs/>
          <w:sz w:val="22"/>
          <w:szCs w:val="22"/>
          <w:lang w:eastAsia="en-US"/>
        </w:rPr>
        <w:t>involved in</w:t>
      </w:r>
      <w:r w:rsidRPr="00314BCC">
        <w:rPr>
          <w:rFonts w:asciiTheme="minorHAnsi" w:eastAsiaTheme="minorHAnsi" w:hAnsiTheme="minorHAnsi" w:cstheme="minorHAnsi"/>
          <w:iCs/>
          <w:sz w:val="22"/>
          <w:szCs w:val="22"/>
          <w:lang w:eastAsia="en-US"/>
        </w:rPr>
        <w:t xml:space="preserve"> facilitating a breach of the law</w:t>
      </w:r>
      <w:r w:rsidR="00A23A2E" w:rsidRPr="00314BCC">
        <w:rPr>
          <w:rFonts w:asciiTheme="minorHAnsi" w:eastAsiaTheme="minorHAnsi" w:hAnsiTheme="minorHAnsi" w:cstheme="minorHAnsi"/>
          <w:iCs/>
          <w:sz w:val="22"/>
          <w:szCs w:val="22"/>
          <w:lang w:eastAsia="en-US"/>
        </w:rPr>
        <w:t>, you are personally at risk of being found to be an accessory</w:t>
      </w:r>
      <w:r w:rsidRPr="00314BCC">
        <w:rPr>
          <w:rFonts w:asciiTheme="minorHAnsi" w:eastAsiaTheme="minorHAnsi" w:hAnsiTheme="minorHAnsi" w:cstheme="minorHAnsi"/>
          <w:iCs/>
          <w:sz w:val="22"/>
          <w:szCs w:val="22"/>
          <w:lang w:eastAsia="en-US"/>
        </w:rPr>
        <w:t>.</w:t>
      </w:r>
    </w:p>
    <w:p w14:paraId="02D7F60B" w14:textId="2FDC88D6"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The Fair Work Ombudsman </w:t>
      </w:r>
      <w:r w:rsidR="00A23A2E" w:rsidRPr="00314BCC">
        <w:rPr>
          <w:rFonts w:asciiTheme="minorHAnsi" w:eastAsiaTheme="minorHAnsi" w:hAnsiTheme="minorHAnsi" w:cstheme="minorHAnsi"/>
          <w:iCs/>
          <w:sz w:val="22"/>
          <w:szCs w:val="22"/>
          <w:lang w:eastAsia="en-US"/>
        </w:rPr>
        <w:t xml:space="preserve">always carefully considers the role of individuals in breaches of </w:t>
      </w:r>
      <w:r w:rsidR="00170648" w:rsidRPr="00314BCC">
        <w:rPr>
          <w:rFonts w:asciiTheme="minorHAnsi" w:eastAsiaTheme="minorHAnsi" w:hAnsiTheme="minorHAnsi" w:cstheme="minorHAnsi"/>
          <w:iCs/>
          <w:sz w:val="22"/>
          <w:szCs w:val="22"/>
          <w:lang w:eastAsia="en-US"/>
        </w:rPr>
        <w:t>workplace laws</w:t>
      </w:r>
      <w:r w:rsidR="00A23A2E" w:rsidRPr="00314BCC">
        <w:rPr>
          <w:rFonts w:asciiTheme="minorHAnsi" w:eastAsiaTheme="minorHAnsi" w:hAnsiTheme="minorHAnsi" w:cstheme="minorHAnsi"/>
          <w:iCs/>
          <w:sz w:val="22"/>
          <w:szCs w:val="22"/>
          <w:lang w:eastAsia="en-US"/>
        </w:rPr>
        <w:t xml:space="preserve">, and considers whether any </w:t>
      </w:r>
      <w:r w:rsidRPr="00314BCC">
        <w:rPr>
          <w:rFonts w:asciiTheme="minorHAnsi" w:eastAsiaTheme="minorHAnsi" w:hAnsiTheme="minorHAnsi" w:cstheme="minorHAnsi"/>
          <w:iCs/>
          <w:sz w:val="22"/>
          <w:szCs w:val="22"/>
          <w:lang w:eastAsia="en-US"/>
        </w:rPr>
        <w:t xml:space="preserve">enforcement action </w:t>
      </w:r>
      <w:r w:rsidR="00A23A2E" w:rsidRPr="00314BCC">
        <w:rPr>
          <w:rFonts w:asciiTheme="minorHAnsi" w:eastAsiaTheme="minorHAnsi" w:hAnsiTheme="minorHAnsi" w:cstheme="minorHAnsi"/>
          <w:iCs/>
          <w:sz w:val="22"/>
          <w:szCs w:val="22"/>
          <w:lang w:eastAsia="en-US"/>
        </w:rPr>
        <w:t>should be extended to them.</w:t>
      </w:r>
      <w:r w:rsidRPr="00314BCC">
        <w:rPr>
          <w:rFonts w:asciiTheme="minorHAnsi" w:eastAsiaTheme="minorHAnsi" w:hAnsiTheme="minorHAnsi" w:cstheme="minorHAnsi"/>
          <w:iCs/>
          <w:sz w:val="22"/>
          <w:szCs w:val="22"/>
          <w:lang w:eastAsia="en-US"/>
        </w:rPr>
        <w:t xml:space="preserve"> </w:t>
      </w:r>
    </w:p>
    <w:p w14:paraId="3206B48D" w14:textId="060EC723" w:rsidR="004F09A9" w:rsidRPr="00314BCC" w:rsidRDefault="00A23A2E"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As</w:t>
      </w:r>
      <w:r w:rsidR="004F09A9" w:rsidRPr="00314BCC">
        <w:rPr>
          <w:rFonts w:asciiTheme="minorHAnsi" w:eastAsiaTheme="minorHAnsi" w:hAnsiTheme="minorHAnsi" w:cstheme="minorHAnsi"/>
          <w:iCs/>
          <w:sz w:val="22"/>
          <w:szCs w:val="22"/>
          <w:lang w:eastAsia="en-US"/>
        </w:rPr>
        <w:t xml:space="preserve"> an Adviser responsible for keeping the beneficiary of your advice on the right side of the law, </w:t>
      </w:r>
      <w:r w:rsidRPr="00314BCC">
        <w:rPr>
          <w:rFonts w:asciiTheme="minorHAnsi" w:eastAsiaTheme="minorHAnsi" w:hAnsiTheme="minorHAnsi" w:cstheme="minorHAnsi"/>
          <w:iCs/>
          <w:sz w:val="22"/>
          <w:szCs w:val="22"/>
          <w:lang w:eastAsia="en-US"/>
        </w:rPr>
        <w:t xml:space="preserve">there is something else you may wish to consider. The </w:t>
      </w:r>
      <w:r w:rsidR="004F09A9" w:rsidRPr="00314BCC">
        <w:rPr>
          <w:rFonts w:asciiTheme="minorHAnsi" w:eastAsiaTheme="minorHAnsi" w:hAnsiTheme="minorHAnsi" w:cstheme="minorHAnsi"/>
          <w:iCs/>
          <w:sz w:val="22"/>
          <w:szCs w:val="22"/>
          <w:lang w:eastAsia="en-US"/>
        </w:rPr>
        <w:t xml:space="preserve">Government </w:t>
      </w:r>
      <w:r w:rsidRPr="00314BCC">
        <w:rPr>
          <w:rFonts w:asciiTheme="minorHAnsi" w:eastAsiaTheme="minorHAnsi" w:hAnsiTheme="minorHAnsi" w:cstheme="minorHAnsi"/>
          <w:iCs/>
          <w:sz w:val="22"/>
          <w:szCs w:val="22"/>
          <w:lang w:eastAsia="en-US"/>
        </w:rPr>
        <w:t xml:space="preserve">has </w:t>
      </w:r>
      <w:r w:rsidR="004F09A9" w:rsidRPr="00314BCC">
        <w:rPr>
          <w:rFonts w:asciiTheme="minorHAnsi" w:eastAsiaTheme="minorHAnsi" w:hAnsiTheme="minorHAnsi" w:cstheme="minorHAnsi"/>
          <w:iCs/>
          <w:sz w:val="22"/>
          <w:szCs w:val="22"/>
          <w:lang w:eastAsia="en-US"/>
        </w:rPr>
        <w:t xml:space="preserve">made election commitments to enhance the tools available to the Fair Work Ombudsman to hold people involved in breaches of workplace laws to account. </w:t>
      </w:r>
    </w:p>
    <w:p w14:paraId="464953AD" w14:textId="28895C64"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One might suggest, if </w:t>
      </w:r>
      <w:r w:rsidR="00910D67" w:rsidRPr="00314BCC">
        <w:rPr>
          <w:rFonts w:asciiTheme="minorHAnsi" w:eastAsiaTheme="minorHAnsi" w:hAnsiTheme="minorHAnsi" w:cstheme="minorHAnsi"/>
          <w:iCs/>
          <w:sz w:val="22"/>
          <w:szCs w:val="22"/>
          <w:lang w:eastAsia="en-US"/>
        </w:rPr>
        <w:t>you</w:t>
      </w:r>
      <w:r w:rsidRPr="00314BCC">
        <w:rPr>
          <w:rFonts w:asciiTheme="minorHAnsi" w:eastAsiaTheme="minorHAnsi" w:hAnsiTheme="minorHAnsi" w:cstheme="minorHAnsi"/>
          <w:iCs/>
          <w:sz w:val="22"/>
          <w:szCs w:val="22"/>
          <w:lang w:eastAsia="en-US"/>
        </w:rPr>
        <w:t xml:space="preserve"> were wanting to keep </w:t>
      </w:r>
      <w:r w:rsidR="00A23A2E" w:rsidRPr="00314BCC">
        <w:rPr>
          <w:rFonts w:asciiTheme="minorHAnsi" w:eastAsiaTheme="minorHAnsi" w:hAnsiTheme="minorHAnsi" w:cstheme="minorHAnsi"/>
          <w:iCs/>
          <w:sz w:val="22"/>
          <w:szCs w:val="22"/>
          <w:lang w:eastAsia="en-US"/>
        </w:rPr>
        <w:t xml:space="preserve">your </w:t>
      </w:r>
      <w:r w:rsidRPr="00314BCC">
        <w:rPr>
          <w:rFonts w:asciiTheme="minorHAnsi" w:eastAsiaTheme="minorHAnsi" w:hAnsiTheme="minorHAnsi" w:cstheme="minorHAnsi"/>
          <w:iCs/>
          <w:sz w:val="22"/>
          <w:szCs w:val="22"/>
          <w:lang w:eastAsia="en-US"/>
        </w:rPr>
        <w:t xml:space="preserve">organisation out of the courts and the newspapers, that there has never been a better time to ensure you are giving holistic and sound advice about compliance with workplace laws. </w:t>
      </w:r>
    </w:p>
    <w:p w14:paraId="30B6AF76" w14:textId="4CE7863A" w:rsidR="00A45583" w:rsidRPr="00314BCC" w:rsidRDefault="00170648"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In </w:t>
      </w:r>
      <w:r w:rsidR="004F09A9" w:rsidRPr="00314BCC">
        <w:rPr>
          <w:rFonts w:asciiTheme="minorHAnsi" w:eastAsiaTheme="minorHAnsi" w:hAnsiTheme="minorHAnsi" w:cstheme="minorHAnsi"/>
          <w:iCs/>
          <w:sz w:val="22"/>
          <w:szCs w:val="22"/>
          <w:lang w:eastAsia="en-US"/>
        </w:rPr>
        <w:t xml:space="preserve">approaching today’s topic, I will </w:t>
      </w:r>
      <w:r w:rsidRPr="00314BCC">
        <w:rPr>
          <w:rFonts w:asciiTheme="minorHAnsi" w:eastAsiaTheme="minorHAnsi" w:hAnsiTheme="minorHAnsi" w:cstheme="minorHAnsi"/>
          <w:iCs/>
          <w:sz w:val="22"/>
          <w:szCs w:val="22"/>
          <w:lang w:eastAsia="en-US"/>
        </w:rPr>
        <w:t>outline</w:t>
      </w:r>
      <w:r w:rsidR="004F09A9" w:rsidRPr="00314BCC">
        <w:rPr>
          <w:rFonts w:asciiTheme="minorHAnsi" w:eastAsiaTheme="minorHAnsi" w:hAnsiTheme="minorHAnsi" w:cstheme="minorHAnsi"/>
          <w:iCs/>
          <w:sz w:val="22"/>
          <w:szCs w:val="22"/>
          <w:lang w:eastAsia="en-US"/>
        </w:rPr>
        <w:t xml:space="preserve"> an Adviser’s risks and </w:t>
      </w:r>
      <w:r w:rsidR="003C59E7" w:rsidRPr="00314BCC">
        <w:rPr>
          <w:rFonts w:asciiTheme="minorHAnsi" w:eastAsiaTheme="minorHAnsi" w:hAnsiTheme="minorHAnsi" w:cstheme="minorHAnsi"/>
          <w:iCs/>
          <w:sz w:val="22"/>
          <w:szCs w:val="22"/>
          <w:lang w:eastAsia="en-US"/>
        </w:rPr>
        <w:t>responsibilities</w:t>
      </w:r>
      <w:r w:rsidRPr="00314BCC">
        <w:rPr>
          <w:rFonts w:asciiTheme="minorHAnsi" w:eastAsiaTheme="minorHAnsi" w:hAnsiTheme="minorHAnsi" w:cstheme="minorHAnsi"/>
          <w:iCs/>
          <w:sz w:val="22"/>
          <w:szCs w:val="22"/>
          <w:lang w:eastAsia="en-US"/>
        </w:rPr>
        <w:t xml:space="preserve"> from my perspective,</w:t>
      </w:r>
      <w:r w:rsidR="004F09A9" w:rsidRPr="00314BCC">
        <w:rPr>
          <w:rFonts w:asciiTheme="minorHAnsi" w:eastAsiaTheme="minorHAnsi" w:hAnsiTheme="minorHAnsi" w:cstheme="minorHAnsi"/>
          <w:iCs/>
          <w:sz w:val="22"/>
          <w:szCs w:val="22"/>
          <w:lang w:eastAsia="en-US"/>
        </w:rPr>
        <w:t xml:space="preserve"> in the context the Fair Work Ombudsman’s active </w:t>
      </w:r>
      <w:r w:rsidRPr="00314BCC">
        <w:rPr>
          <w:rFonts w:asciiTheme="minorHAnsi" w:eastAsiaTheme="minorHAnsi" w:hAnsiTheme="minorHAnsi" w:cstheme="minorHAnsi"/>
          <w:iCs/>
          <w:sz w:val="22"/>
          <w:szCs w:val="22"/>
          <w:lang w:eastAsia="en-US"/>
        </w:rPr>
        <w:t xml:space="preserve">and evolving </w:t>
      </w:r>
      <w:r w:rsidR="004F09A9" w:rsidRPr="00314BCC">
        <w:rPr>
          <w:rFonts w:asciiTheme="minorHAnsi" w:eastAsiaTheme="minorHAnsi" w:hAnsiTheme="minorHAnsi" w:cstheme="minorHAnsi"/>
          <w:iCs/>
          <w:sz w:val="22"/>
          <w:szCs w:val="22"/>
          <w:lang w:eastAsia="en-US"/>
        </w:rPr>
        <w:t xml:space="preserve">approach to accessorial liability. But I will also touch on the broader risks in the context of the community’s expectations and the Government’s election commitments. </w:t>
      </w:r>
    </w:p>
    <w:p w14:paraId="767EA8FF" w14:textId="0126E9E4" w:rsidR="004F09A9" w:rsidRPr="00314BCC" w:rsidRDefault="00A23A2E" w:rsidP="00314BCC">
      <w:pPr>
        <w:spacing w:after="320" w:line="360" w:lineRule="auto"/>
        <w:jc w:val="center"/>
        <w:rPr>
          <w:rFonts w:asciiTheme="minorHAnsi" w:eastAsiaTheme="minorHAnsi" w:hAnsiTheme="minorHAnsi" w:cstheme="minorHAnsi"/>
          <w:b/>
          <w:iCs/>
          <w:sz w:val="22"/>
          <w:szCs w:val="22"/>
          <w:lang w:eastAsia="en-US"/>
        </w:rPr>
      </w:pPr>
      <w:r w:rsidRPr="00314BCC">
        <w:rPr>
          <w:rFonts w:asciiTheme="minorHAnsi" w:eastAsiaTheme="minorHAnsi" w:hAnsiTheme="minorHAnsi" w:cstheme="minorHAnsi"/>
          <w:b/>
          <w:iCs/>
          <w:sz w:val="22"/>
          <w:szCs w:val="22"/>
          <w:lang w:eastAsia="en-US"/>
        </w:rPr>
        <w:t>The Long Arm of accessorial liability</w:t>
      </w:r>
    </w:p>
    <w:p w14:paraId="7623BF71" w14:textId="73BC10C9"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So, to turn to the F</w:t>
      </w:r>
      <w:r w:rsidR="00170648" w:rsidRPr="00314BCC">
        <w:rPr>
          <w:rFonts w:asciiTheme="minorHAnsi" w:eastAsiaTheme="minorHAnsi" w:hAnsiTheme="minorHAnsi" w:cstheme="minorHAnsi"/>
          <w:iCs/>
          <w:sz w:val="22"/>
          <w:szCs w:val="22"/>
          <w:lang w:eastAsia="en-US"/>
        </w:rPr>
        <w:t xml:space="preserve">air </w:t>
      </w:r>
      <w:r w:rsidRPr="00314BCC">
        <w:rPr>
          <w:rFonts w:asciiTheme="minorHAnsi" w:eastAsiaTheme="minorHAnsi" w:hAnsiTheme="minorHAnsi" w:cstheme="minorHAnsi"/>
          <w:iCs/>
          <w:sz w:val="22"/>
          <w:szCs w:val="22"/>
          <w:lang w:eastAsia="en-US"/>
        </w:rPr>
        <w:t>W</w:t>
      </w:r>
      <w:r w:rsidR="00170648" w:rsidRPr="00314BCC">
        <w:rPr>
          <w:rFonts w:asciiTheme="minorHAnsi" w:eastAsiaTheme="minorHAnsi" w:hAnsiTheme="minorHAnsi" w:cstheme="minorHAnsi"/>
          <w:iCs/>
          <w:sz w:val="22"/>
          <w:szCs w:val="22"/>
          <w:lang w:eastAsia="en-US"/>
        </w:rPr>
        <w:t xml:space="preserve">ork </w:t>
      </w:r>
      <w:r w:rsidRPr="00314BCC">
        <w:rPr>
          <w:rFonts w:asciiTheme="minorHAnsi" w:eastAsiaTheme="minorHAnsi" w:hAnsiTheme="minorHAnsi" w:cstheme="minorHAnsi"/>
          <w:iCs/>
          <w:sz w:val="22"/>
          <w:szCs w:val="22"/>
          <w:lang w:eastAsia="en-US"/>
        </w:rPr>
        <w:t>O</w:t>
      </w:r>
      <w:r w:rsidR="00170648" w:rsidRPr="00314BCC">
        <w:rPr>
          <w:rFonts w:asciiTheme="minorHAnsi" w:eastAsiaTheme="minorHAnsi" w:hAnsiTheme="minorHAnsi" w:cstheme="minorHAnsi"/>
          <w:iCs/>
          <w:sz w:val="22"/>
          <w:szCs w:val="22"/>
          <w:lang w:eastAsia="en-US"/>
        </w:rPr>
        <w:t>mbudsman</w:t>
      </w:r>
      <w:r w:rsidRPr="00314BCC">
        <w:rPr>
          <w:rFonts w:asciiTheme="minorHAnsi" w:eastAsiaTheme="minorHAnsi" w:hAnsiTheme="minorHAnsi" w:cstheme="minorHAnsi"/>
          <w:iCs/>
          <w:sz w:val="22"/>
          <w:szCs w:val="22"/>
          <w:lang w:eastAsia="en-US"/>
        </w:rPr>
        <w:t>’s approach to the current framework</w:t>
      </w:r>
      <w:r w:rsidR="00170648" w:rsidRPr="00314BCC">
        <w:rPr>
          <w:rFonts w:asciiTheme="minorHAnsi" w:eastAsiaTheme="minorHAnsi" w:hAnsiTheme="minorHAnsi" w:cstheme="minorHAnsi"/>
          <w:iCs/>
          <w:sz w:val="22"/>
          <w:szCs w:val="22"/>
          <w:lang w:eastAsia="en-US"/>
        </w:rPr>
        <w:t>.</w:t>
      </w:r>
    </w:p>
    <w:p w14:paraId="547446DD" w14:textId="77777777"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We know that an employer is clearly responsible for making sure workers are paid correctly.  </w:t>
      </w:r>
    </w:p>
    <w:p w14:paraId="0BCF6D05" w14:textId="1C099511"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But where </w:t>
      </w:r>
      <w:r w:rsidR="00170648" w:rsidRPr="00314BCC">
        <w:rPr>
          <w:rFonts w:asciiTheme="minorHAnsi" w:eastAsiaTheme="minorHAnsi" w:hAnsiTheme="minorHAnsi" w:cstheme="minorHAnsi"/>
          <w:iCs/>
          <w:sz w:val="22"/>
          <w:szCs w:val="22"/>
          <w:lang w:eastAsia="en-US"/>
        </w:rPr>
        <w:t xml:space="preserve">does the </w:t>
      </w:r>
      <w:r w:rsidR="00DE56C7" w:rsidRPr="00314BCC">
        <w:rPr>
          <w:rFonts w:asciiTheme="minorHAnsi" w:eastAsiaTheme="minorHAnsi" w:hAnsiTheme="minorHAnsi" w:cstheme="minorHAnsi"/>
          <w:iCs/>
          <w:sz w:val="22"/>
          <w:szCs w:val="22"/>
          <w:lang w:eastAsia="en-US"/>
        </w:rPr>
        <w:t>responsibility</w:t>
      </w:r>
      <w:r w:rsidRPr="00314BCC">
        <w:rPr>
          <w:rFonts w:asciiTheme="minorHAnsi" w:eastAsiaTheme="minorHAnsi" w:hAnsiTheme="minorHAnsi" w:cstheme="minorHAnsi"/>
          <w:iCs/>
          <w:sz w:val="22"/>
          <w:szCs w:val="22"/>
          <w:lang w:eastAsia="en-US"/>
        </w:rPr>
        <w:t xml:space="preserve"> </w:t>
      </w:r>
      <w:r w:rsidR="00170648" w:rsidRPr="00314BCC">
        <w:rPr>
          <w:rFonts w:asciiTheme="minorHAnsi" w:eastAsiaTheme="minorHAnsi" w:hAnsiTheme="minorHAnsi" w:cstheme="minorHAnsi"/>
          <w:iCs/>
          <w:sz w:val="22"/>
          <w:szCs w:val="22"/>
          <w:lang w:eastAsia="en-US"/>
        </w:rPr>
        <w:t>for compliance with the law</w:t>
      </w:r>
      <w:r w:rsidRPr="00314BCC">
        <w:rPr>
          <w:rFonts w:asciiTheme="minorHAnsi" w:eastAsiaTheme="minorHAnsi" w:hAnsiTheme="minorHAnsi" w:cstheme="minorHAnsi"/>
          <w:iCs/>
          <w:sz w:val="22"/>
          <w:szCs w:val="22"/>
          <w:lang w:eastAsia="en-US"/>
        </w:rPr>
        <w:t xml:space="preserve"> begin and end? </w:t>
      </w:r>
    </w:p>
    <w:p w14:paraId="2F961F66" w14:textId="317EA7C1"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The law also extends responsibility to others who are involved in a contravention. It does this through section 550 of the Fair Work Act.</w:t>
      </w:r>
    </w:p>
    <w:p w14:paraId="2D3F69F1" w14:textId="3176F3E9"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Provisions extending </w:t>
      </w:r>
      <w:r w:rsidR="003C59E7" w:rsidRPr="00314BCC">
        <w:rPr>
          <w:rFonts w:asciiTheme="minorHAnsi" w:eastAsiaTheme="minorHAnsi" w:hAnsiTheme="minorHAnsi" w:cstheme="minorHAnsi"/>
          <w:iCs/>
          <w:sz w:val="22"/>
          <w:szCs w:val="22"/>
          <w:lang w:eastAsia="en-US"/>
        </w:rPr>
        <w:t>liability</w:t>
      </w:r>
      <w:r w:rsidRPr="00314BCC">
        <w:rPr>
          <w:rFonts w:asciiTheme="minorHAnsi" w:eastAsiaTheme="minorHAnsi" w:hAnsiTheme="minorHAnsi" w:cstheme="minorHAnsi"/>
          <w:iCs/>
          <w:sz w:val="22"/>
          <w:szCs w:val="22"/>
          <w:lang w:eastAsia="en-US"/>
        </w:rPr>
        <w:t xml:space="preserve"> for contraventions of the law to people ‘involved’ in the relevant conduct have been a feature of workplace relations legislation </w:t>
      </w:r>
      <w:r w:rsidR="00A47827" w:rsidRPr="00314BCC">
        <w:rPr>
          <w:rFonts w:asciiTheme="minorHAnsi" w:eastAsiaTheme="minorHAnsi" w:hAnsiTheme="minorHAnsi" w:cstheme="minorHAnsi"/>
          <w:iCs/>
          <w:sz w:val="22"/>
          <w:szCs w:val="22"/>
          <w:lang w:eastAsia="en-US"/>
        </w:rPr>
        <w:t xml:space="preserve">for </w:t>
      </w:r>
      <w:r w:rsidRPr="00314BCC">
        <w:rPr>
          <w:rFonts w:asciiTheme="minorHAnsi" w:eastAsiaTheme="minorHAnsi" w:hAnsiTheme="minorHAnsi" w:cstheme="minorHAnsi"/>
          <w:iCs/>
          <w:sz w:val="22"/>
          <w:szCs w:val="22"/>
          <w:lang w:eastAsia="en-US"/>
        </w:rPr>
        <w:t xml:space="preserve">a decade now.  </w:t>
      </w:r>
    </w:p>
    <w:p w14:paraId="74D00CE0" w14:textId="62F6754C"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lastRenderedPageBreak/>
        <w:t xml:space="preserve">Section 550 is a standard, ‘bread and butter’ accessorial liability provision.  There are similar clauses throughout the statute books, including occupational health and safety </w:t>
      </w:r>
      <w:r w:rsidR="00A47827" w:rsidRPr="00314BCC">
        <w:rPr>
          <w:rFonts w:asciiTheme="minorHAnsi" w:eastAsiaTheme="minorHAnsi" w:hAnsiTheme="minorHAnsi" w:cstheme="minorHAnsi"/>
          <w:iCs/>
          <w:sz w:val="22"/>
          <w:szCs w:val="22"/>
          <w:lang w:eastAsia="en-US"/>
        </w:rPr>
        <w:t xml:space="preserve">law, </w:t>
      </w:r>
      <w:r w:rsidRPr="00314BCC">
        <w:rPr>
          <w:rFonts w:asciiTheme="minorHAnsi" w:eastAsiaTheme="minorHAnsi" w:hAnsiTheme="minorHAnsi" w:cstheme="minorHAnsi"/>
          <w:iCs/>
          <w:sz w:val="22"/>
          <w:szCs w:val="22"/>
          <w:lang w:eastAsia="en-US"/>
        </w:rPr>
        <w:t>as well as corporations, competition and consumer legislation.</w:t>
      </w:r>
    </w:p>
    <w:p w14:paraId="6C8AF4C5" w14:textId="77777777"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We’re increasingly using this mechanism to ensure that someone is held to account when we find deliberate exploitation of vulnerable workers. </w:t>
      </w:r>
    </w:p>
    <w:p w14:paraId="29DD0C19" w14:textId="77777777"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We do this to reinforce the critical roles and responsibilities of the key personnel involved in the breach—whether they are company directors or advisers. </w:t>
      </w:r>
    </w:p>
    <w:p w14:paraId="2025EF87" w14:textId="73F85F31" w:rsidR="004F09A9" w:rsidRPr="00314BCC" w:rsidRDefault="00E60E0B"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There is strong public interest in ensuring that such </w:t>
      </w:r>
      <w:r w:rsidR="00DE56C7" w:rsidRPr="00314BCC">
        <w:rPr>
          <w:rFonts w:asciiTheme="minorHAnsi" w:eastAsiaTheme="minorHAnsi" w:hAnsiTheme="minorHAnsi" w:cstheme="minorHAnsi"/>
          <w:iCs/>
          <w:sz w:val="22"/>
          <w:szCs w:val="22"/>
          <w:lang w:eastAsia="en-US"/>
        </w:rPr>
        <w:t>people inform</w:t>
      </w:r>
      <w:r w:rsidR="004F09A9" w:rsidRPr="00314BCC">
        <w:rPr>
          <w:rFonts w:asciiTheme="minorHAnsi" w:eastAsiaTheme="minorHAnsi" w:hAnsiTheme="minorHAnsi" w:cstheme="minorHAnsi"/>
          <w:iCs/>
          <w:sz w:val="22"/>
          <w:szCs w:val="22"/>
          <w:lang w:eastAsia="en-US"/>
        </w:rPr>
        <w:t xml:space="preserve"> themselves of the law, and to operate within it. </w:t>
      </w:r>
    </w:p>
    <w:p w14:paraId="6A62DCB7" w14:textId="2FC1D17B" w:rsidR="004F09A9" w:rsidRPr="00314BCC" w:rsidRDefault="00E60E0B"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And we </w:t>
      </w:r>
      <w:r w:rsidR="00DE56C7" w:rsidRPr="00314BCC">
        <w:rPr>
          <w:rFonts w:asciiTheme="minorHAnsi" w:eastAsiaTheme="minorHAnsi" w:hAnsiTheme="minorHAnsi" w:cstheme="minorHAnsi"/>
          <w:iCs/>
          <w:sz w:val="22"/>
          <w:szCs w:val="22"/>
          <w:lang w:eastAsia="en-US"/>
        </w:rPr>
        <w:t>will explore</w:t>
      </w:r>
      <w:r w:rsidR="004F09A9" w:rsidRPr="00314BCC">
        <w:rPr>
          <w:rFonts w:asciiTheme="minorHAnsi" w:eastAsiaTheme="minorHAnsi" w:hAnsiTheme="minorHAnsi" w:cstheme="minorHAnsi"/>
          <w:iCs/>
          <w:sz w:val="22"/>
          <w:szCs w:val="22"/>
          <w:lang w:eastAsia="en-US"/>
        </w:rPr>
        <w:t xml:space="preserve"> every avenue available to us to ensure that exploited workers receive the </w:t>
      </w:r>
      <w:r w:rsidRPr="00314BCC">
        <w:rPr>
          <w:rFonts w:asciiTheme="minorHAnsi" w:eastAsiaTheme="minorHAnsi" w:hAnsiTheme="minorHAnsi" w:cstheme="minorHAnsi"/>
          <w:iCs/>
          <w:sz w:val="22"/>
          <w:szCs w:val="22"/>
          <w:lang w:eastAsia="en-US"/>
        </w:rPr>
        <w:t>wage</w:t>
      </w:r>
      <w:r w:rsidR="004F09A9" w:rsidRPr="00314BCC">
        <w:rPr>
          <w:rFonts w:asciiTheme="minorHAnsi" w:eastAsiaTheme="minorHAnsi" w:hAnsiTheme="minorHAnsi" w:cstheme="minorHAnsi"/>
          <w:iCs/>
          <w:sz w:val="22"/>
          <w:szCs w:val="22"/>
          <w:lang w:eastAsia="en-US"/>
        </w:rPr>
        <w:t xml:space="preserve">s that they are entitled to. </w:t>
      </w:r>
    </w:p>
    <w:p w14:paraId="6DBA4E0A" w14:textId="39F4D704"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The accessorial liability provisions are especially important if we think a company might not continue to solvently operate when we commence proceedings against it. By naming accessories, we can still seek to recoup back-payments and penalties from individuals involved in the breach irrespective of whether the corporate </w:t>
      </w:r>
      <w:r w:rsidR="00170648" w:rsidRPr="00314BCC">
        <w:rPr>
          <w:rFonts w:asciiTheme="minorHAnsi" w:eastAsiaTheme="minorHAnsi" w:hAnsiTheme="minorHAnsi" w:cstheme="minorHAnsi"/>
          <w:iCs/>
          <w:sz w:val="22"/>
          <w:szCs w:val="22"/>
          <w:lang w:eastAsia="en-US"/>
        </w:rPr>
        <w:t xml:space="preserve">employer is </w:t>
      </w:r>
      <w:r w:rsidRPr="00314BCC">
        <w:rPr>
          <w:rFonts w:asciiTheme="minorHAnsi" w:eastAsiaTheme="minorHAnsi" w:hAnsiTheme="minorHAnsi" w:cstheme="minorHAnsi"/>
          <w:iCs/>
          <w:sz w:val="22"/>
          <w:szCs w:val="22"/>
          <w:lang w:eastAsia="en-US"/>
        </w:rPr>
        <w:t xml:space="preserve">still </w:t>
      </w:r>
      <w:r w:rsidR="00170648" w:rsidRPr="00314BCC">
        <w:rPr>
          <w:rFonts w:asciiTheme="minorHAnsi" w:eastAsiaTheme="minorHAnsi" w:hAnsiTheme="minorHAnsi" w:cstheme="minorHAnsi"/>
          <w:iCs/>
          <w:sz w:val="22"/>
          <w:szCs w:val="22"/>
          <w:lang w:eastAsia="en-US"/>
        </w:rPr>
        <w:t>operative</w:t>
      </w:r>
      <w:r w:rsidRPr="00314BCC">
        <w:rPr>
          <w:rFonts w:asciiTheme="minorHAnsi" w:eastAsiaTheme="minorHAnsi" w:hAnsiTheme="minorHAnsi" w:cstheme="minorHAnsi"/>
          <w:iCs/>
          <w:sz w:val="22"/>
          <w:szCs w:val="22"/>
          <w:lang w:eastAsia="en-US"/>
        </w:rPr>
        <w:t xml:space="preserve">, or has money in the bank. </w:t>
      </w:r>
    </w:p>
    <w:p w14:paraId="1F50D59D" w14:textId="1BF05A51"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In fact, last financial year, </w:t>
      </w:r>
      <w:r w:rsidRPr="00314BCC">
        <w:rPr>
          <w:rFonts w:asciiTheme="minorHAnsi" w:eastAsiaTheme="minorHAnsi" w:hAnsiTheme="minorHAnsi" w:cstheme="minorHAnsi"/>
          <w:b/>
          <w:iCs/>
          <w:sz w:val="22"/>
          <w:szCs w:val="22"/>
          <w:lang w:eastAsia="en-US"/>
        </w:rPr>
        <w:t>46</w:t>
      </w:r>
      <w:r w:rsidRPr="00314BCC">
        <w:rPr>
          <w:rFonts w:asciiTheme="minorHAnsi" w:eastAsiaTheme="minorHAnsi" w:hAnsiTheme="minorHAnsi" w:cstheme="minorHAnsi"/>
          <w:iCs/>
          <w:sz w:val="22"/>
          <w:szCs w:val="22"/>
          <w:lang w:eastAsia="en-US"/>
        </w:rPr>
        <w:t xml:space="preserve"> out of </w:t>
      </w:r>
      <w:r w:rsidRPr="00314BCC">
        <w:rPr>
          <w:rFonts w:asciiTheme="minorHAnsi" w:eastAsiaTheme="minorHAnsi" w:hAnsiTheme="minorHAnsi" w:cstheme="minorHAnsi"/>
          <w:b/>
          <w:iCs/>
          <w:sz w:val="22"/>
          <w:szCs w:val="22"/>
          <w:lang w:eastAsia="en-US"/>
        </w:rPr>
        <w:t>50</w:t>
      </w:r>
      <w:r w:rsidRPr="00314BCC">
        <w:rPr>
          <w:rFonts w:asciiTheme="minorHAnsi" w:eastAsiaTheme="minorHAnsi" w:hAnsiTheme="minorHAnsi" w:cstheme="minorHAnsi"/>
          <w:iCs/>
          <w:sz w:val="22"/>
          <w:szCs w:val="22"/>
          <w:lang w:eastAsia="en-US"/>
        </w:rPr>
        <w:t xml:space="preserve"> of the matters we filed in court </w:t>
      </w:r>
      <w:r w:rsidRPr="00314BCC">
        <w:rPr>
          <w:rFonts w:asciiTheme="minorHAnsi" w:eastAsiaTheme="minorHAnsi" w:hAnsiTheme="minorHAnsi" w:cstheme="minorHAnsi"/>
          <w:b/>
          <w:iCs/>
          <w:sz w:val="22"/>
          <w:szCs w:val="22"/>
          <w:lang w:eastAsia="en-US"/>
        </w:rPr>
        <w:t>(92%)</w:t>
      </w:r>
      <w:r w:rsidRPr="00314BCC">
        <w:rPr>
          <w:rFonts w:asciiTheme="minorHAnsi" w:eastAsiaTheme="minorHAnsi" w:hAnsiTheme="minorHAnsi" w:cstheme="minorHAnsi"/>
          <w:iCs/>
          <w:sz w:val="22"/>
          <w:szCs w:val="22"/>
          <w:lang w:eastAsia="en-US"/>
        </w:rPr>
        <w:t xml:space="preserve"> sought </w:t>
      </w:r>
      <w:r w:rsidR="00CA5178" w:rsidRPr="00314BCC">
        <w:rPr>
          <w:rFonts w:asciiTheme="minorHAnsi" w:eastAsiaTheme="minorHAnsi" w:hAnsiTheme="minorHAnsi" w:cstheme="minorHAnsi"/>
          <w:iCs/>
          <w:sz w:val="22"/>
          <w:szCs w:val="22"/>
          <w:lang w:eastAsia="en-US"/>
        </w:rPr>
        <w:t>orders against accessories.</w:t>
      </w:r>
      <w:r w:rsidRPr="00314BCC">
        <w:rPr>
          <w:rFonts w:asciiTheme="minorHAnsi" w:eastAsiaTheme="minorHAnsi" w:hAnsiTheme="minorHAnsi" w:cstheme="minorHAnsi"/>
          <w:b/>
          <w:iCs/>
          <w:sz w:val="22"/>
          <w:szCs w:val="22"/>
          <w:lang w:eastAsia="en-US"/>
        </w:rPr>
        <w:t xml:space="preserve">  </w:t>
      </w:r>
    </w:p>
    <w:p w14:paraId="7B1FA4CC" w14:textId="77777777"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This is up from the year before. In </w:t>
      </w:r>
      <w:r w:rsidRPr="00314BCC">
        <w:rPr>
          <w:rFonts w:asciiTheme="minorHAnsi" w:eastAsiaTheme="minorHAnsi" w:hAnsiTheme="minorHAnsi" w:cstheme="minorHAnsi"/>
          <w:b/>
          <w:iCs/>
          <w:sz w:val="22"/>
          <w:szCs w:val="22"/>
          <w:lang w:eastAsia="en-US"/>
        </w:rPr>
        <w:t>2014-15</w:t>
      </w:r>
      <w:r w:rsidRPr="00314BCC">
        <w:rPr>
          <w:rFonts w:asciiTheme="minorHAnsi" w:eastAsiaTheme="minorHAnsi" w:hAnsiTheme="minorHAnsi" w:cstheme="minorHAnsi"/>
          <w:iCs/>
          <w:sz w:val="22"/>
          <w:szCs w:val="22"/>
          <w:lang w:eastAsia="en-US"/>
        </w:rPr>
        <w:t xml:space="preserve">, </w:t>
      </w:r>
      <w:r w:rsidRPr="00314BCC">
        <w:rPr>
          <w:rFonts w:asciiTheme="minorHAnsi" w:eastAsiaTheme="minorHAnsi" w:hAnsiTheme="minorHAnsi" w:cstheme="minorHAnsi"/>
          <w:b/>
          <w:iCs/>
          <w:sz w:val="22"/>
          <w:szCs w:val="22"/>
          <w:lang w:eastAsia="en-US"/>
        </w:rPr>
        <w:t xml:space="preserve">36 </w:t>
      </w:r>
      <w:r w:rsidRPr="00314BCC">
        <w:rPr>
          <w:rFonts w:asciiTheme="minorHAnsi" w:eastAsiaTheme="minorHAnsi" w:hAnsiTheme="minorHAnsi" w:cstheme="minorHAnsi"/>
          <w:iCs/>
          <w:sz w:val="22"/>
          <w:szCs w:val="22"/>
          <w:lang w:eastAsia="en-US"/>
        </w:rPr>
        <w:t xml:space="preserve">out of </w:t>
      </w:r>
      <w:r w:rsidRPr="00314BCC">
        <w:rPr>
          <w:rFonts w:asciiTheme="minorHAnsi" w:eastAsiaTheme="minorHAnsi" w:hAnsiTheme="minorHAnsi" w:cstheme="minorHAnsi"/>
          <w:b/>
          <w:iCs/>
          <w:sz w:val="22"/>
          <w:szCs w:val="22"/>
          <w:lang w:eastAsia="en-US"/>
        </w:rPr>
        <w:t>50</w:t>
      </w:r>
      <w:r w:rsidRPr="00314BCC">
        <w:rPr>
          <w:rFonts w:asciiTheme="minorHAnsi" w:eastAsiaTheme="minorHAnsi" w:hAnsiTheme="minorHAnsi" w:cstheme="minorHAnsi"/>
          <w:iCs/>
          <w:sz w:val="22"/>
          <w:szCs w:val="22"/>
          <w:lang w:eastAsia="en-US"/>
        </w:rPr>
        <w:t xml:space="preserve"> litigations commenced </w:t>
      </w:r>
      <w:r w:rsidRPr="00314BCC">
        <w:rPr>
          <w:rFonts w:asciiTheme="minorHAnsi" w:eastAsiaTheme="minorHAnsi" w:hAnsiTheme="minorHAnsi" w:cstheme="minorHAnsi"/>
          <w:b/>
          <w:iCs/>
          <w:sz w:val="22"/>
          <w:szCs w:val="22"/>
          <w:lang w:eastAsia="en-US"/>
        </w:rPr>
        <w:t>(72%)</w:t>
      </w:r>
      <w:r w:rsidRPr="00314BCC">
        <w:rPr>
          <w:rFonts w:asciiTheme="minorHAnsi" w:eastAsiaTheme="minorHAnsi" w:hAnsiTheme="minorHAnsi" w:cstheme="minorHAnsi"/>
          <w:iCs/>
          <w:sz w:val="22"/>
          <w:szCs w:val="22"/>
          <w:lang w:eastAsia="en-US"/>
        </w:rPr>
        <w:t xml:space="preserve"> involved an alleged accessory. </w:t>
      </w:r>
    </w:p>
    <w:p w14:paraId="0802323B" w14:textId="08321C27"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I am alive to the fact that your employers or clients care enough about doing things properly to </w:t>
      </w:r>
      <w:r w:rsidR="002979BE">
        <w:rPr>
          <w:rFonts w:asciiTheme="minorHAnsi" w:eastAsiaTheme="minorHAnsi" w:hAnsiTheme="minorHAnsi" w:cstheme="minorHAnsi"/>
          <w:iCs/>
          <w:sz w:val="22"/>
          <w:szCs w:val="22"/>
          <w:lang w:eastAsia="en-US"/>
        </w:rPr>
        <w:t>engage you as trusted advisers.</w:t>
      </w:r>
      <w:r w:rsidRPr="00314BCC">
        <w:rPr>
          <w:rFonts w:asciiTheme="minorHAnsi" w:eastAsiaTheme="minorHAnsi" w:hAnsiTheme="minorHAnsi" w:cstheme="minorHAnsi"/>
          <w:iCs/>
          <w:sz w:val="22"/>
          <w:szCs w:val="22"/>
          <w:lang w:eastAsia="en-US"/>
        </w:rPr>
        <w:t xml:space="preserve"> So we know they want to do the right thing…or at least to stay out of trouble! </w:t>
      </w:r>
    </w:p>
    <w:p w14:paraId="574DA82C" w14:textId="77777777"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But not everyone wants to play by the rules or work with us.</w:t>
      </w:r>
    </w:p>
    <w:p w14:paraId="19572082" w14:textId="6EC58FCB" w:rsidR="00CA5178"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We see some operators who think they can short-change their employees and get away with it by liquidating their companies and hiding behind </w:t>
      </w:r>
      <w:r w:rsidR="00A47827" w:rsidRPr="00314BCC">
        <w:rPr>
          <w:rFonts w:asciiTheme="minorHAnsi" w:eastAsiaTheme="minorHAnsi" w:hAnsiTheme="minorHAnsi" w:cstheme="minorHAnsi"/>
          <w:iCs/>
          <w:sz w:val="22"/>
          <w:szCs w:val="22"/>
          <w:lang w:eastAsia="en-US"/>
        </w:rPr>
        <w:t>the</w:t>
      </w:r>
      <w:r w:rsidRPr="00314BCC">
        <w:rPr>
          <w:rFonts w:asciiTheme="minorHAnsi" w:eastAsiaTheme="minorHAnsi" w:hAnsiTheme="minorHAnsi" w:cstheme="minorHAnsi"/>
          <w:iCs/>
          <w:sz w:val="22"/>
          <w:szCs w:val="22"/>
          <w:lang w:eastAsia="en-US"/>
        </w:rPr>
        <w:t xml:space="preserve"> corporate veil.  </w:t>
      </w:r>
    </w:p>
    <w:p w14:paraId="5939764D" w14:textId="2C2A5732" w:rsidR="004F09A9" w:rsidRPr="00314BCC" w:rsidRDefault="00CA5178"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lastRenderedPageBreak/>
        <w:t xml:space="preserve">These </w:t>
      </w:r>
      <w:r w:rsidR="004F09A9" w:rsidRPr="00314BCC">
        <w:rPr>
          <w:rFonts w:asciiTheme="minorHAnsi" w:eastAsiaTheme="minorHAnsi" w:hAnsiTheme="minorHAnsi" w:cstheme="minorHAnsi"/>
          <w:iCs/>
          <w:sz w:val="22"/>
          <w:szCs w:val="22"/>
          <w:lang w:eastAsia="en-US"/>
        </w:rPr>
        <w:t xml:space="preserve">operators </w:t>
      </w:r>
      <w:r w:rsidRPr="00314BCC">
        <w:rPr>
          <w:rFonts w:asciiTheme="minorHAnsi" w:eastAsiaTheme="minorHAnsi" w:hAnsiTheme="minorHAnsi" w:cstheme="minorHAnsi"/>
          <w:iCs/>
          <w:sz w:val="22"/>
          <w:szCs w:val="22"/>
          <w:lang w:eastAsia="en-US"/>
        </w:rPr>
        <w:t>are testing</w:t>
      </w:r>
      <w:r w:rsidR="004F09A9" w:rsidRPr="00314BCC">
        <w:rPr>
          <w:rFonts w:asciiTheme="minorHAnsi" w:eastAsiaTheme="minorHAnsi" w:hAnsiTheme="minorHAnsi" w:cstheme="minorHAnsi"/>
          <w:iCs/>
          <w:sz w:val="22"/>
          <w:szCs w:val="22"/>
          <w:lang w:eastAsia="en-US"/>
        </w:rPr>
        <w:t xml:space="preserve"> the boundaries of what they can get away with under the legal framework.  </w:t>
      </w:r>
    </w:p>
    <w:p w14:paraId="0C7C4B68" w14:textId="53D4D72E" w:rsidR="004F09A9" w:rsidRPr="00314BCC" w:rsidRDefault="00CA5178"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The Fair Work Ombudsman will </w:t>
      </w:r>
      <w:r w:rsidR="00DE56C7" w:rsidRPr="00314BCC">
        <w:rPr>
          <w:rFonts w:asciiTheme="minorHAnsi" w:eastAsiaTheme="minorHAnsi" w:hAnsiTheme="minorHAnsi" w:cstheme="minorHAnsi"/>
          <w:iCs/>
          <w:sz w:val="22"/>
          <w:szCs w:val="22"/>
          <w:lang w:eastAsia="en-US"/>
        </w:rPr>
        <w:t>not sit</w:t>
      </w:r>
      <w:r w:rsidR="004F09A9" w:rsidRPr="00314BCC">
        <w:rPr>
          <w:rFonts w:asciiTheme="minorHAnsi" w:eastAsiaTheme="minorHAnsi" w:hAnsiTheme="minorHAnsi" w:cstheme="minorHAnsi"/>
          <w:iCs/>
          <w:sz w:val="22"/>
          <w:szCs w:val="22"/>
          <w:lang w:eastAsia="en-US"/>
        </w:rPr>
        <w:t xml:space="preserve"> passively while these operators avoid the laws that are supposed to hold them to account. We have been adventurously testing the limits of a</w:t>
      </w:r>
      <w:r w:rsidR="00A47827" w:rsidRPr="00314BCC">
        <w:rPr>
          <w:rFonts w:asciiTheme="minorHAnsi" w:eastAsiaTheme="minorHAnsi" w:hAnsiTheme="minorHAnsi" w:cstheme="minorHAnsi"/>
          <w:iCs/>
          <w:sz w:val="22"/>
          <w:szCs w:val="22"/>
          <w:lang w:eastAsia="en-US"/>
        </w:rPr>
        <w:t xml:space="preserve">ccessorial liability provisions </w:t>
      </w:r>
      <w:r w:rsidR="004F09A9" w:rsidRPr="00314BCC">
        <w:rPr>
          <w:rFonts w:asciiTheme="minorHAnsi" w:eastAsiaTheme="minorHAnsi" w:hAnsiTheme="minorHAnsi" w:cstheme="minorHAnsi"/>
          <w:iCs/>
          <w:sz w:val="22"/>
          <w:szCs w:val="22"/>
          <w:lang w:eastAsia="en-US"/>
        </w:rPr>
        <w:t xml:space="preserve">to ensure someone is held responsible for breaches of the Fair Work Act. </w:t>
      </w:r>
    </w:p>
    <w:p w14:paraId="2D5FBB31" w14:textId="42AA2F85"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hAnsiTheme="minorHAnsi" w:cstheme="minorHAnsi"/>
          <w:sz w:val="22"/>
          <w:szCs w:val="22"/>
          <w:lang w:eastAsia="en-US"/>
        </w:rPr>
        <w:t>We are pursuing employers who cannot or will not pay</w:t>
      </w:r>
      <w:r w:rsidR="00CA5178" w:rsidRPr="00314BCC">
        <w:rPr>
          <w:rFonts w:asciiTheme="minorHAnsi" w:hAnsiTheme="minorHAnsi" w:cstheme="minorHAnsi"/>
          <w:sz w:val="22"/>
          <w:szCs w:val="22"/>
          <w:lang w:eastAsia="en-US"/>
        </w:rPr>
        <w:t>,</w:t>
      </w:r>
      <w:r w:rsidRPr="00314BCC">
        <w:rPr>
          <w:rFonts w:asciiTheme="minorHAnsi" w:hAnsiTheme="minorHAnsi" w:cstheme="minorHAnsi"/>
          <w:sz w:val="22"/>
          <w:szCs w:val="22"/>
          <w:lang w:eastAsia="en-US"/>
        </w:rPr>
        <w:t xml:space="preserve"> using every lever available to us to ensure wages that should have been paid to workers are put back into their hands. </w:t>
      </w:r>
      <w:r w:rsidR="00170648" w:rsidRPr="00314BCC">
        <w:rPr>
          <w:rFonts w:asciiTheme="minorHAnsi" w:hAnsiTheme="minorHAnsi" w:cstheme="minorHAnsi"/>
          <w:sz w:val="22"/>
          <w:szCs w:val="22"/>
          <w:lang w:eastAsia="en-US"/>
        </w:rPr>
        <w:t>A</w:t>
      </w:r>
      <w:r w:rsidRPr="00314BCC" w:rsidDel="003A1296">
        <w:rPr>
          <w:rFonts w:asciiTheme="minorHAnsi" w:hAnsiTheme="minorHAnsi" w:cstheme="minorHAnsi"/>
          <w:sz w:val="22"/>
          <w:szCs w:val="22"/>
          <w:lang w:eastAsia="en-US"/>
        </w:rPr>
        <w:t>nd we are striving to ensure those who breached their workplace obligations don't get the chance to do that again.</w:t>
      </w:r>
      <w:r w:rsidRPr="00314BCC" w:rsidDel="003A1296">
        <w:rPr>
          <w:rFonts w:asciiTheme="minorHAnsi" w:eastAsiaTheme="minorHAnsi" w:hAnsiTheme="minorHAnsi" w:cstheme="minorHAnsi"/>
          <w:iCs/>
          <w:sz w:val="22"/>
          <w:szCs w:val="22"/>
          <w:lang w:eastAsia="en-US"/>
        </w:rPr>
        <w:t xml:space="preserve"> </w:t>
      </w:r>
    </w:p>
    <w:p w14:paraId="54DE8954" w14:textId="575BFCFD"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There must be clear consequences for those in trusted </w:t>
      </w:r>
      <w:r w:rsidR="00CA5178" w:rsidRPr="00314BCC">
        <w:rPr>
          <w:rFonts w:asciiTheme="minorHAnsi" w:eastAsiaTheme="minorHAnsi" w:hAnsiTheme="minorHAnsi" w:cstheme="minorHAnsi"/>
          <w:iCs/>
          <w:sz w:val="22"/>
          <w:szCs w:val="22"/>
          <w:lang w:eastAsia="en-US"/>
        </w:rPr>
        <w:t xml:space="preserve">positions, those whose advice is relied upon and those </w:t>
      </w:r>
      <w:r w:rsidRPr="00314BCC">
        <w:rPr>
          <w:rFonts w:asciiTheme="minorHAnsi" w:eastAsiaTheme="minorHAnsi" w:hAnsiTheme="minorHAnsi" w:cstheme="minorHAnsi"/>
          <w:iCs/>
          <w:sz w:val="22"/>
          <w:szCs w:val="22"/>
          <w:lang w:eastAsia="en-US"/>
        </w:rPr>
        <w:t xml:space="preserve">with the responsibility to know better who </w:t>
      </w:r>
      <w:r w:rsidR="00170648" w:rsidRPr="00314BCC">
        <w:rPr>
          <w:rFonts w:asciiTheme="minorHAnsi" w:eastAsiaTheme="minorHAnsi" w:hAnsiTheme="minorHAnsi" w:cstheme="minorHAnsi"/>
          <w:iCs/>
          <w:sz w:val="22"/>
          <w:szCs w:val="22"/>
          <w:lang w:eastAsia="en-US"/>
        </w:rPr>
        <w:t xml:space="preserve">play a part in </w:t>
      </w:r>
      <w:r w:rsidRPr="00314BCC">
        <w:rPr>
          <w:rFonts w:asciiTheme="minorHAnsi" w:eastAsiaTheme="minorHAnsi" w:hAnsiTheme="minorHAnsi" w:cstheme="minorHAnsi"/>
          <w:iCs/>
          <w:sz w:val="22"/>
          <w:szCs w:val="22"/>
          <w:lang w:eastAsia="en-US"/>
        </w:rPr>
        <w:t>undermin</w:t>
      </w:r>
      <w:r w:rsidR="00170648" w:rsidRPr="00314BCC">
        <w:rPr>
          <w:rFonts w:asciiTheme="minorHAnsi" w:eastAsiaTheme="minorHAnsi" w:hAnsiTheme="minorHAnsi" w:cstheme="minorHAnsi"/>
          <w:iCs/>
          <w:sz w:val="22"/>
          <w:szCs w:val="22"/>
          <w:lang w:eastAsia="en-US"/>
        </w:rPr>
        <w:t>ing</w:t>
      </w:r>
      <w:r w:rsidRPr="00314BCC">
        <w:rPr>
          <w:rFonts w:asciiTheme="minorHAnsi" w:eastAsiaTheme="minorHAnsi" w:hAnsiTheme="minorHAnsi" w:cstheme="minorHAnsi"/>
          <w:iCs/>
          <w:sz w:val="22"/>
          <w:szCs w:val="22"/>
          <w:lang w:eastAsia="en-US"/>
        </w:rPr>
        <w:t xml:space="preserve"> workplace law</w:t>
      </w:r>
      <w:r w:rsidR="00170648" w:rsidRPr="00314BCC">
        <w:rPr>
          <w:rFonts w:asciiTheme="minorHAnsi" w:eastAsiaTheme="minorHAnsi" w:hAnsiTheme="minorHAnsi" w:cstheme="minorHAnsi"/>
          <w:iCs/>
          <w:sz w:val="22"/>
          <w:szCs w:val="22"/>
          <w:lang w:eastAsia="en-US"/>
        </w:rPr>
        <w:t>s</w:t>
      </w:r>
      <w:r w:rsidRPr="00314BCC">
        <w:rPr>
          <w:rFonts w:asciiTheme="minorHAnsi" w:eastAsiaTheme="minorHAnsi" w:hAnsiTheme="minorHAnsi" w:cstheme="minorHAnsi"/>
          <w:iCs/>
          <w:sz w:val="22"/>
          <w:szCs w:val="22"/>
          <w:lang w:eastAsia="en-US"/>
        </w:rPr>
        <w:t>.</w:t>
      </w:r>
    </w:p>
    <w:p w14:paraId="784739B3" w14:textId="2A6BEE05" w:rsidR="004F09A9" w:rsidRPr="00314BCC" w:rsidRDefault="00AA7F2E" w:rsidP="00314BCC">
      <w:pPr>
        <w:spacing w:after="320" w:line="360" w:lineRule="auto"/>
        <w:jc w:val="center"/>
        <w:rPr>
          <w:rFonts w:asciiTheme="minorHAnsi" w:eastAsiaTheme="minorHAnsi" w:hAnsiTheme="minorHAnsi" w:cstheme="minorHAnsi"/>
          <w:b/>
          <w:iCs/>
          <w:sz w:val="22"/>
          <w:szCs w:val="22"/>
          <w:lang w:eastAsia="en-US"/>
        </w:rPr>
      </w:pPr>
      <w:r w:rsidRPr="00314BCC">
        <w:rPr>
          <w:rFonts w:asciiTheme="minorHAnsi" w:eastAsiaTheme="minorHAnsi" w:hAnsiTheme="minorHAnsi" w:cstheme="minorHAnsi"/>
          <w:b/>
          <w:iCs/>
          <w:sz w:val="22"/>
          <w:szCs w:val="22"/>
          <w:lang w:eastAsia="en-US"/>
        </w:rPr>
        <w:t xml:space="preserve">Extending the Long Arm: </w:t>
      </w:r>
      <w:r w:rsidR="00CA5178" w:rsidRPr="00314BCC">
        <w:rPr>
          <w:rFonts w:asciiTheme="minorHAnsi" w:eastAsiaTheme="minorHAnsi" w:hAnsiTheme="minorHAnsi" w:cstheme="minorHAnsi"/>
          <w:b/>
          <w:iCs/>
          <w:sz w:val="22"/>
          <w:szCs w:val="22"/>
          <w:lang w:eastAsia="en-US"/>
        </w:rPr>
        <w:t xml:space="preserve">accessories </w:t>
      </w:r>
      <w:r w:rsidRPr="00314BCC">
        <w:rPr>
          <w:rFonts w:asciiTheme="minorHAnsi" w:eastAsiaTheme="minorHAnsi" w:hAnsiTheme="minorHAnsi" w:cstheme="minorHAnsi"/>
          <w:b/>
          <w:iCs/>
          <w:sz w:val="22"/>
          <w:szCs w:val="22"/>
          <w:lang w:eastAsia="en-US"/>
        </w:rPr>
        <w:t xml:space="preserve">can be </w:t>
      </w:r>
      <w:r w:rsidR="004F09A9" w:rsidRPr="00314BCC">
        <w:rPr>
          <w:rFonts w:asciiTheme="minorHAnsi" w:eastAsiaTheme="minorHAnsi" w:hAnsiTheme="minorHAnsi" w:cstheme="minorHAnsi"/>
          <w:b/>
          <w:iCs/>
          <w:sz w:val="22"/>
          <w:szCs w:val="22"/>
          <w:lang w:eastAsia="en-US"/>
        </w:rPr>
        <w:t>liable for back-pay</w:t>
      </w:r>
    </w:p>
    <w:p w14:paraId="51DD9A76" w14:textId="45AE6299" w:rsidR="00170648" w:rsidRPr="00314BCC" w:rsidRDefault="00170648"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We have up until recently confined the orders we sought against accessories to seeking penalties. We</w:t>
      </w:r>
      <w:r w:rsidR="00910D67" w:rsidRPr="00314BCC">
        <w:rPr>
          <w:rFonts w:asciiTheme="minorHAnsi" w:eastAsiaTheme="minorHAnsi" w:hAnsiTheme="minorHAnsi" w:cstheme="minorHAnsi"/>
          <w:iCs/>
          <w:sz w:val="22"/>
          <w:szCs w:val="22"/>
          <w:lang w:eastAsia="en-US"/>
        </w:rPr>
        <w:t xml:space="preserve"> had not sought to recover back-</w:t>
      </w:r>
      <w:r w:rsidRPr="00314BCC">
        <w:rPr>
          <w:rFonts w:asciiTheme="minorHAnsi" w:eastAsiaTheme="minorHAnsi" w:hAnsiTheme="minorHAnsi" w:cstheme="minorHAnsi"/>
          <w:iCs/>
          <w:sz w:val="22"/>
          <w:szCs w:val="22"/>
          <w:lang w:eastAsia="en-US"/>
        </w:rPr>
        <w:t>pay from an accessory.</w:t>
      </w:r>
    </w:p>
    <w:p w14:paraId="4A260031" w14:textId="3D7B89B1" w:rsidR="00CA5178" w:rsidRPr="00314BCC" w:rsidRDefault="00CA5178"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Not anymore.</w:t>
      </w:r>
    </w:p>
    <w:p w14:paraId="5A3F4664" w14:textId="21124219" w:rsidR="004F09A9" w:rsidRPr="00314BCC" w:rsidRDefault="00654DE2"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The</w:t>
      </w:r>
      <w:r w:rsidR="00170648" w:rsidRPr="00314BCC">
        <w:rPr>
          <w:rFonts w:asciiTheme="minorHAnsi" w:eastAsiaTheme="minorHAnsi" w:hAnsiTheme="minorHAnsi" w:cstheme="minorHAnsi"/>
          <w:iCs/>
          <w:sz w:val="22"/>
          <w:szCs w:val="22"/>
          <w:lang w:eastAsia="en-US"/>
        </w:rPr>
        <w:t xml:space="preserve"> first person to experience our new approach</w:t>
      </w:r>
      <w:r w:rsidRPr="00314BCC">
        <w:rPr>
          <w:rFonts w:asciiTheme="minorHAnsi" w:eastAsiaTheme="minorHAnsi" w:hAnsiTheme="minorHAnsi" w:cstheme="minorHAnsi"/>
          <w:iCs/>
          <w:sz w:val="22"/>
          <w:szCs w:val="22"/>
          <w:lang w:eastAsia="en-US"/>
        </w:rPr>
        <w:t xml:space="preserve"> was </w:t>
      </w:r>
      <w:r w:rsidR="004F09A9" w:rsidRPr="00314BCC">
        <w:rPr>
          <w:rFonts w:asciiTheme="minorHAnsi" w:eastAsiaTheme="minorHAnsi" w:hAnsiTheme="minorHAnsi" w:cstheme="minorHAnsi"/>
          <w:iCs/>
          <w:sz w:val="22"/>
          <w:szCs w:val="22"/>
          <w:lang w:eastAsia="en-US"/>
        </w:rPr>
        <w:t>Mr Owen Jennings, the former director of now wound-up Gold Coast security operation, Step Ahead Security Services</w:t>
      </w:r>
      <w:r w:rsidR="006D1E0D" w:rsidRPr="00314BCC">
        <w:rPr>
          <w:rStyle w:val="FootnoteReference"/>
          <w:rFonts w:asciiTheme="minorHAnsi" w:eastAsiaTheme="minorHAnsi" w:hAnsiTheme="minorHAnsi" w:cstheme="minorHAnsi"/>
          <w:iCs/>
          <w:sz w:val="22"/>
          <w:szCs w:val="22"/>
          <w:lang w:eastAsia="en-US"/>
        </w:rPr>
        <w:footnoteReference w:id="1"/>
      </w:r>
      <w:r w:rsidR="004F09A9" w:rsidRPr="00314BCC">
        <w:rPr>
          <w:rFonts w:asciiTheme="minorHAnsi" w:eastAsiaTheme="minorHAnsi" w:hAnsiTheme="minorHAnsi" w:cstheme="minorHAnsi"/>
          <w:iCs/>
          <w:sz w:val="22"/>
          <w:szCs w:val="22"/>
          <w:lang w:eastAsia="en-US"/>
        </w:rPr>
        <w:t xml:space="preserve">. </w:t>
      </w:r>
    </w:p>
    <w:p w14:paraId="487C56D3" w14:textId="7BA0040F"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The case saw Mr Jennings pay a hefty penalty of </w:t>
      </w:r>
      <w:r w:rsidRPr="00314BCC">
        <w:rPr>
          <w:rFonts w:asciiTheme="minorHAnsi" w:eastAsiaTheme="minorHAnsi" w:hAnsiTheme="minorHAnsi" w:cstheme="minorHAnsi"/>
          <w:b/>
          <w:iCs/>
          <w:sz w:val="22"/>
          <w:szCs w:val="22"/>
          <w:lang w:eastAsia="en-US"/>
        </w:rPr>
        <w:t xml:space="preserve">$51,400 </w:t>
      </w:r>
      <w:r w:rsidRPr="00314BCC">
        <w:rPr>
          <w:rFonts w:asciiTheme="minorHAnsi" w:eastAsiaTheme="minorHAnsi" w:hAnsiTheme="minorHAnsi" w:cstheme="minorHAnsi"/>
          <w:iCs/>
          <w:sz w:val="22"/>
          <w:szCs w:val="22"/>
          <w:lang w:eastAsia="en-US"/>
        </w:rPr>
        <w:t xml:space="preserve">after he was found to be involved in the underpayment of eight security guards by the employing entity for which he was responsible. </w:t>
      </w:r>
    </w:p>
    <w:p w14:paraId="3E872AEE" w14:textId="159EC325" w:rsidR="004F09A9" w:rsidRPr="00314BCC" w:rsidRDefault="004F09A9" w:rsidP="003C59E7">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But of even greater significance, he was also ordered to </w:t>
      </w:r>
      <w:r w:rsidRPr="00314BCC">
        <w:rPr>
          <w:rFonts w:asciiTheme="minorHAnsi" w:eastAsiaTheme="minorHAnsi" w:hAnsiTheme="minorHAnsi" w:cstheme="minorHAnsi"/>
          <w:b/>
          <w:iCs/>
          <w:sz w:val="22"/>
          <w:szCs w:val="22"/>
          <w:lang w:eastAsia="en-US"/>
        </w:rPr>
        <w:t>personally repay</w:t>
      </w:r>
      <w:r w:rsidRPr="00314BCC">
        <w:rPr>
          <w:rFonts w:asciiTheme="minorHAnsi" w:eastAsiaTheme="minorHAnsi" w:hAnsiTheme="minorHAnsi" w:cstheme="minorHAnsi"/>
          <w:iCs/>
          <w:sz w:val="22"/>
          <w:szCs w:val="22"/>
          <w:lang w:eastAsia="en-US"/>
        </w:rPr>
        <w:t xml:space="preserve"> the eight employees </w:t>
      </w:r>
      <w:r w:rsidRPr="00314BCC">
        <w:rPr>
          <w:rFonts w:asciiTheme="minorHAnsi" w:eastAsiaTheme="minorHAnsi" w:hAnsiTheme="minorHAnsi" w:cstheme="minorHAnsi"/>
          <w:b/>
          <w:iCs/>
          <w:sz w:val="22"/>
          <w:szCs w:val="22"/>
          <w:lang w:eastAsia="en-US"/>
        </w:rPr>
        <w:t>almost</w:t>
      </w:r>
      <w:r w:rsidRPr="00314BCC">
        <w:rPr>
          <w:rFonts w:asciiTheme="minorHAnsi" w:eastAsiaTheme="minorHAnsi" w:hAnsiTheme="minorHAnsi" w:cstheme="minorHAnsi"/>
          <w:iCs/>
          <w:sz w:val="22"/>
          <w:szCs w:val="22"/>
          <w:lang w:eastAsia="en-US"/>
        </w:rPr>
        <w:t xml:space="preserve"> </w:t>
      </w:r>
      <w:r w:rsidRPr="00314BCC">
        <w:rPr>
          <w:rFonts w:asciiTheme="minorHAnsi" w:eastAsiaTheme="minorHAnsi" w:hAnsiTheme="minorHAnsi" w:cstheme="minorHAnsi"/>
          <w:b/>
          <w:iCs/>
          <w:sz w:val="22"/>
          <w:szCs w:val="22"/>
          <w:lang w:eastAsia="en-US"/>
        </w:rPr>
        <w:t>$23,000</w:t>
      </w:r>
      <w:r w:rsidRPr="00314BCC">
        <w:rPr>
          <w:rFonts w:asciiTheme="minorHAnsi" w:eastAsiaTheme="minorHAnsi" w:hAnsiTheme="minorHAnsi" w:cstheme="minorHAnsi"/>
          <w:iCs/>
          <w:sz w:val="22"/>
          <w:szCs w:val="22"/>
          <w:lang w:eastAsia="en-US"/>
        </w:rPr>
        <w:t xml:space="preserve"> in lost wages, in what was (for the FWO) a precedent-setting decision. </w:t>
      </w:r>
    </w:p>
    <w:p w14:paraId="662A9863" w14:textId="32FDA441"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This case involved the classic criteria we look for when deciding whether to </w:t>
      </w:r>
      <w:r w:rsidR="00315262" w:rsidRPr="00314BCC">
        <w:rPr>
          <w:rFonts w:asciiTheme="minorHAnsi" w:eastAsiaTheme="minorHAnsi" w:hAnsiTheme="minorHAnsi" w:cstheme="minorHAnsi"/>
          <w:iCs/>
          <w:sz w:val="22"/>
          <w:szCs w:val="22"/>
          <w:lang w:eastAsia="en-US"/>
        </w:rPr>
        <w:t xml:space="preserve">take action against </w:t>
      </w:r>
      <w:r w:rsidRPr="00314BCC">
        <w:rPr>
          <w:rFonts w:asciiTheme="minorHAnsi" w:eastAsiaTheme="minorHAnsi" w:hAnsiTheme="minorHAnsi" w:cstheme="minorHAnsi"/>
          <w:iCs/>
          <w:sz w:val="22"/>
          <w:szCs w:val="22"/>
          <w:lang w:eastAsia="en-US"/>
        </w:rPr>
        <w:t xml:space="preserve">an </w:t>
      </w:r>
      <w:r w:rsidR="00315262" w:rsidRPr="00314BCC">
        <w:rPr>
          <w:rFonts w:asciiTheme="minorHAnsi" w:eastAsiaTheme="minorHAnsi" w:hAnsiTheme="minorHAnsi" w:cstheme="minorHAnsi"/>
          <w:iCs/>
          <w:sz w:val="22"/>
          <w:szCs w:val="22"/>
          <w:lang w:eastAsia="en-US"/>
        </w:rPr>
        <w:t>accessory.</w:t>
      </w:r>
    </w:p>
    <w:p w14:paraId="0B24F0CC" w14:textId="4793174C"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Firstly, the matter involved vulnerable employees</w:t>
      </w:r>
      <w:r w:rsidR="00654DE2" w:rsidRPr="00314BCC">
        <w:rPr>
          <w:rFonts w:asciiTheme="minorHAnsi" w:eastAsiaTheme="minorHAnsi" w:hAnsiTheme="minorHAnsi" w:cstheme="minorHAnsi"/>
          <w:iCs/>
          <w:sz w:val="22"/>
          <w:szCs w:val="22"/>
          <w:lang w:eastAsia="en-US"/>
        </w:rPr>
        <w:t>.</w:t>
      </w:r>
    </w:p>
    <w:p w14:paraId="23368BFE" w14:textId="7F6B6E51"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lastRenderedPageBreak/>
        <w:t xml:space="preserve">Secondly, Mr Jennings tried to exploit the legal framework to avoid paying employees their entitlements.  We considered it was appropriate to hold Mr Jennings personally liable when </w:t>
      </w:r>
      <w:r w:rsidR="00315262" w:rsidRPr="00314BCC">
        <w:rPr>
          <w:rFonts w:asciiTheme="minorHAnsi" w:eastAsiaTheme="minorHAnsi" w:hAnsiTheme="minorHAnsi" w:cstheme="minorHAnsi"/>
          <w:iCs/>
          <w:sz w:val="22"/>
          <w:szCs w:val="22"/>
          <w:lang w:eastAsia="en-US"/>
        </w:rPr>
        <w:t>he</w:t>
      </w:r>
      <w:r w:rsidRPr="00314BCC">
        <w:rPr>
          <w:rFonts w:asciiTheme="minorHAnsi" w:eastAsiaTheme="minorHAnsi" w:hAnsiTheme="minorHAnsi" w:cstheme="minorHAnsi"/>
          <w:iCs/>
          <w:sz w:val="22"/>
          <w:szCs w:val="22"/>
          <w:lang w:eastAsia="en-US"/>
        </w:rPr>
        <w:t xml:space="preserve"> wound-up the company after we initiated proceedings against </w:t>
      </w:r>
      <w:r w:rsidR="00654DE2" w:rsidRPr="00314BCC">
        <w:rPr>
          <w:rFonts w:asciiTheme="minorHAnsi" w:eastAsiaTheme="minorHAnsi" w:hAnsiTheme="minorHAnsi" w:cstheme="minorHAnsi"/>
          <w:iCs/>
          <w:sz w:val="22"/>
          <w:szCs w:val="22"/>
          <w:lang w:eastAsia="en-US"/>
        </w:rPr>
        <w:t>it</w:t>
      </w:r>
      <w:r w:rsidRPr="00314BCC">
        <w:rPr>
          <w:rFonts w:asciiTheme="minorHAnsi" w:eastAsiaTheme="minorHAnsi" w:hAnsiTheme="minorHAnsi" w:cstheme="minorHAnsi"/>
          <w:iCs/>
          <w:sz w:val="22"/>
          <w:szCs w:val="22"/>
          <w:lang w:eastAsia="en-US"/>
        </w:rPr>
        <w:t xml:space="preserve">.  While the employees were left without the payments that they were owed, Mr Jennings </w:t>
      </w:r>
      <w:r w:rsidR="00CC2CEF" w:rsidRPr="00314BCC">
        <w:rPr>
          <w:rFonts w:asciiTheme="minorHAnsi" w:eastAsiaTheme="minorHAnsi" w:hAnsiTheme="minorHAnsi" w:cstheme="minorHAnsi"/>
          <w:iCs/>
          <w:sz w:val="22"/>
          <w:szCs w:val="22"/>
          <w:lang w:eastAsia="en-US"/>
        </w:rPr>
        <w:t>was involved in</w:t>
      </w:r>
      <w:r w:rsidRPr="00314BCC">
        <w:rPr>
          <w:rFonts w:asciiTheme="minorHAnsi" w:eastAsiaTheme="minorHAnsi" w:hAnsiTheme="minorHAnsi" w:cstheme="minorHAnsi"/>
          <w:iCs/>
          <w:sz w:val="22"/>
          <w:szCs w:val="22"/>
          <w:lang w:eastAsia="en-US"/>
        </w:rPr>
        <w:t xml:space="preserve"> a new company doing exactly the same work, with the same workers, operating from the same address. </w:t>
      </w:r>
      <w:r w:rsidR="00CC2CEF" w:rsidRPr="00314BCC">
        <w:rPr>
          <w:rFonts w:asciiTheme="minorHAnsi" w:eastAsiaTheme="minorHAnsi" w:hAnsiTheme="minorHAnsi" w:cstheme="minorHAnsi"/>
          <w:iCs/>
          <w:sz w:val="22"/>
          <w:szCs w:val="22"/>
          <w:lang w:eastAsia="en-US"/>
        </w:rPr>
        <w:t>H</w:t>
      </w:r>
      <w:r w:rsidRPr="00314BCC">
        <w:rPr>
          <w:rFonts w:asciiTheme="minorHAnsi" w:eastAsiaTheme="minorHAnsi" w:hAnsiTheme="minorHAnsi" w:cstheme="minorHAnsi"/>
          <w:iCs/>
          <w:sz w:val="22"/>
          <w:szCs w:val="22"/>
          <w:lang w:eastAsia="en-US"/>
        </w:rPr>
        <w:t xml:space="preserve">is son </w:t>
      </w:r>
      <w:r w:rsidR="00CC2CEF" w:rsidRPr="00314BCC">
        <w:rPr>
          <w:rFonts w:asciiTheme="minorHAnsi" w:eastAsiaTheme="minorHAnsi" w:hAnsiTheme="minorHAnsi" w:cstheme="minorHAnsi"/>
          <w:iCs/>
          <w:sz w:val="22"/>
          <w:szCs w:val="22"/>
          <w:lang w:eastAsia="en-US"/>
        </w:rPr>
        <w:t>w</w:t>
      </w:r>
      <w:r w:rsidRPr="00314BCC">
        <w:rPr>
          <w:rFonts w:asciiTheme="minorHAnsi" w:eastAsiaTheme="minorHAnsi" w:hAnsiTheme="minorHAnsi" w:cstheme="minorHAnsi"/>
          <w:iCs/>
          <w:sz w:val="22"/>
          <w:szCs w:val="22"/>
          <w:lang w:eastAsia="en-US"/>
        </w:rPr>
        <w:t>as the director</w:t>
      </w:r>
      <w:r w:rsidR="00CC2CEF" w:rsidRPr="00314BCC">
        <w:rPr>
          <w:rFonts w:asciiTheme="minorHAnsi" w:eastAsiaTheme="minorHAnsi" w:hAnsiTheme="minorHAnsi" w:cstheme="minorHAnsi"/>
          <w:iCs/>
          <w:sz w:val="22"/>
          <w:szCs w:val="22"/>
          <w:lang w:eastAsia="en-US"/>
        </w:rPr>
        <w:t xml:space="preserve"> of the new company</w:t>
      </w:r>
      <w:r w:rsidRPr="00314BCC">
        <w:rPr>
          <w:rFonts w:asciiTheme="minorHAnsi" w:eastAsiaTheme="minorHAnsi" w:hAnsiTheme="minorHAnsi" w:cstheme="minorHAnsi"/>
          <w:iCs/>
          <w:sz w:val="22"/>
          <w:szCs w:val="22"/>
          <w:lang w:eastAsia="en-US"/>
        </w:rPr>
        <w:t xml:space="preserve">, and </w:t>
      </w:r>
      <w:r w:rsidR="00CC2CEF" w:rsidRPr="00314BCC">
        <w:rPr>
          <w:rFonts w:asciiTheme="minorHAnsi" w:eastAsiaTheme="minorHAnsi" w:hAnsiTheme="minorHAnsi" w:cstheme="minorHAnsi"/>
          <w:iCs/>
          <w:sz w:val="22"/>
          <w:szCs w:val="22"/>
          <w:lang w:eastAsia="en-US"/>
        </w:rPr>
        <w:t xml:space="preserve">Mr Jennings was a ‘consultant’ to that company. </w:t>
      </w:r>
    </w:p>
    <w:p w14:paraId="7EA5467E" w14:textId="4E0953EF" w:rsidR="004F09A9" w:rsidRPr="00314BCC" w:rsidRDefault="00315262"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Thirdly</w:t>
      </w:r>
      <w:r w:rsidR="00654DE2" w:rsidRPr="00314BCC">
        <w:rPr>
          <w:rFonts w:asciiTheme="minorHAnsi" w:eastAsiaTheme="minorHAnsi" w:hAnsiTheme="minorHAnsi" w:cstheme="minorHAnsi"/>
          <w:iCs/>
          <w:sz w:val="22"/>
          <w:szCs w:val="22"/>
          <w:lang w:eastAsia="en-US"/>
        </w:rPr>
        <w:t xml:space="preserve">, </w:t>
      </w:r>
      <w:r w:rsidR="004F09A9" w:rsidRPr="00314BCC">
        <w:rPr>
          <w:rFonts w:asciiTheme="minorHAnsi" w:eastAsiaTheme="minorHAnsi" w:hAnsiTheme="minorHAnsi" w:cstheme="minorHAnsi"/>
          <w:iCs/>
          <w:sz w:val="22"/>
          <w:szCs w:val="22"/>
          <w:lang w:eastAsia="en-US"/>
        </w:rPr>
        <w:t xml:space="preserve">Mr Jennings also had </w:t>
      </w:r>
      <w:r w:rsidR="00910D67" w:rsidRPr="00314BCC">
        <w:rPr>
          <w:rFonts w:asciiTheme="minorHAnsi" w:eastAsiaTheme="minorHAnsi" w:hAnsiTheme="minorHAnsi" w:cstheme="minorHAnsi"/>
          <w:iCs/>
          <w:sz w:val="22"/>
          <w:szCs w:val="22"/>
          <w:lang w:eastAsia="en-US"/>
        </w:rPr>
        <w:t xml:space="preserve">an </w:t>
      </w:r>
      <w:r w:rsidR="004F09A9" w:rsidRPr="00314BCC">
        <w:rPr>
          <w:rFonts w:asciiTheme="minorHAnsi" w:eastAsiaTheme="minorHAnsi" w:hAnsiTheme="minorHAnsi" w:cstheme="minorHAnsi"/>
          <w:iCs/>
          <w:sz w:val="22"/>
          <w:szCs w:val="22"/>
          <w:lang w:eastAsia="en-US"/>
        </w:rPr>
        <w:t xml:space="preserve">extensive history of non-compliance and his conduct was clearly deliberate. He had been known to us for over a decade through his previous security companies, and had previously deregistered a company when we started investigating. </w:t>
      </w:r>
      <w:r w:rsidRPr="00314BCC">
        <w:rPr>
          <w:rFonts w:asciiTheme="minorHAnsi" w:eastAsiaTheme="minorHAnsi" w:hAnsiTheme="minorHAnsi" w:cstheme="minorHAnsi"/>
          <w:iCs/>
          <w:sz w:val="22"/>
          <w:szCs w:val="22"/>
          <w:lang w:eastAsia="en-US"/>
        </w:rPr>
        <w:t>The public interest demands that</w:t>
      </w:r>
      <w:r w:rsidR="004F09A9" w:rsidRPr="00314BCC">
        <w:rPr>
          <w:rFonts w:asciiTheme="minorHAnsi" w:eastAsiaTheme="minorHAnsi" w:hAnsiTheme="minorHAnsi" w:cstheme="minorHAnsi"/>
          <w:iCs/>
          <w:sz w:val="22"/>
          <w:szCs w:val="22"/>
          <w:lang w:eastAsia="en-US"/>
        </w:rPr>
        <w:t xml:space="preserve"> Mr Jennings </w:t>
      </w:r>
      <w:r w:rsidRPr="00314BCC">
        <w:rPr>
          <w:rFonts w:asciiTheme="minorHAnsi" w:eastAsiaTheme="minorHAnsi" w:hAnsiTheme="minorHAnsi" w:cstheme="minorHAnsi"/>
          <w:iCs/>
          <w:sz w:val="22"/>
          <w:szCs w:val="22"/>
          <w:lang w:eastAsia="en-US"/>
        </w:rPr>
        <w:t>sh</w:t>
      </w:r>
      <w:r w:rsidR="004F09A9" w:rsidRPr="00314BCC">
        <w:rPr>
          <w:rFonts w:asciiTheme="minorHAnsi" w:eastAsiaTheme="minorHAnsi" w:hAnsiTheme="minorHAnsi" w:cstheme="minorHAnsi"/>
          <w:iCs/>
          <w:sz w:val="22"/>
          <w:szCs w:val="22"/>
          <w:lang w:eastAsia="en-US"/>
        </w:rPr>
        <w:t xml:space="preserve">ould not </w:t>
      </w:r>
      <w:r w:rsidRPr="00314BCC">
        <w:rPr>
          <w:rFonts w:asciiTheme="minorHAnsi" w:eastAsiaTheme="minorHAnsi" w:hAnsiTheme="minorHAnsi" w:cstheme="minorHAnsi"/>
          <w:iCs/>
          <w:sz w:val="22"/>
          <w:szCs w:val="22"/>
          <w:lang w:eastAsia="en-US"/>
        </w:rPr>
        <w:t xml:space="preserve">be in a position to </w:t>
      </w:r>
      <w:r w:rsidR="00654DE2" w:rsidRPr="00314BCC">
        <w:rPr>
          <w:rFonts w:asciiTheme="minorHAnsi" w:eastAsiaTheme="minorHAnsi" w:hAnsiTheme="minorHAnsi" w:cstheme="minorHAnsi"/>
          <w:iCs/>
          <w:sz w:val="22"/>
          <w:szCs w:val="22"/>
          <w:lang w:eastAsia="en-US"/>
        </w:rPr>
        <w:t xml:space="preserve">repeat </w:t>
      </w:r>
      <w:r w:rsidR="004F09A9" w:rsidRPr="00314BCC">
        <w:rPr>
          <w:rFonts w:asciiTheme="minorHAnsi" w:eastAsiaTheme="minorHAnsi" w:hAnsiTheme="minorHAnsi" w:cstheme="minorHAnsi"/>
          <w:iCs/>
          <w:sz w:val="22"/>
          <w:szCs w:val="22"/>
          <w:lang w:eastAsia="en-US"/>
        </w:rPr>
        <w:t xml:space="preserve">this conduct in the future. </w:t>
      </w:r>
    </w:p>
    <w:p w14:paraId="258E4AF5" w14:textId="77777777"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In the Federal Circuit Court in Brisbane, Judge Jarrett found that Mr Jennings had:</w:t>
      </w:r>
    </w:p>
    <w:p w14:paraId="5EDE6428" w14:textId="77777777" w:rsidR="004F09A9" w:rsidRPr="00314BCC" w:rsidRDefault="004F09A9" w:rsidP="004F09A9">
      <w:pPr>
        <w:spacing w:after="320" w:line="360" w:lineRule="auto"/>
        <w:ind w:left="720"/>
        <w:rPr>
          <w:rFonts w:asciiTheme="minorHAnsi" w:eastAsiaTheme="minorHAnsi" w:hAnsiTheme="minorHAnsi" w:cstheme="minorHAnsi"/>
          <w:i/>
          <w:iCs/>
          <w:sz w:val="22"/>
          <w:szCs w:val="22"/>
          <w:lang w:eastAsia="en-US"/>
        </w:rPr>
      </w:pPr>
      <w:r w:rsidRPr="00314BCC">
        <w:rPr>
          <w:rFonts w:asciiTheme="minorHAnsi" w:eastAsiaTheme="minorHAnsi" w:hAnsiTheme="minorHAnsi" w:cstheme="minorHAnsi"/>
          <w:i/>
          <w:iCs/>
          <w:sz w:val="22"/>
          <w:szCs w:val="22"/>
          <w:lang w:eastAsia="en-US"/>
        </w:rPr>
        <w:t xml:space="preserve">…demonstrated </w:t>
      </w:r>
      <w:r w:rsidRPr="00314BCC">
        <w:rPr>
          <w:rFonts w:asciiTheme="minorHAnsi" w:eastAsiaTheme="minorHAnsi" w:hAnsiTheme="minorHAnsi" w:cstheme="minorHAnsi"/>
          <w:b/>
          <w:i/>
          <w:iCs/>
          <w:sz w:val="22"/>
          <w:szCs w:val="22"/>
          <w:lang w:eastAsia="en-US"/>
        </w:rPr>
        <w:t>calculated and deliberate</w:t>
      </w:r>
      <w:r w:rsidRPr="00314BCC">
        <w:rPr>
          <w:rFonts w:asciiTheme="minorHAnsi" w:eastAsiaTheme="minorHAnsi" w:hAnsiTheme="minorHAnsi" w:cstheme="minorHAnsi"/>
          <w:i/>
          <w:iCs/>
          <w:sz w:val="22"/>
          <w:szCs w:val="22"/>
          <w:lang w:eastAsia="en-US"/>
        </w:rPr>
        <w:t xml:space="preserve"> conduct which plainly amounts to a blatant disregard for Australia's workplace laws and the rights and entitlements of the first respondent's employees. </w:t>
      </w:r>
    </w:p>
    <w:p w14:paraId="06851DE7" w14:textId="77777777"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Our action against Mr Jennings shows that we will seek to cut off the escape route of winding up a company if the purpose behind that action is to avoid having to back-pay workers. </w:t>
      </w:r>
    </w:p>
    <w:p w14:paraId="3BD8D214" w14:textId="13AE35A4"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And it opens the door for us to seek orders to make</w:t>
      </w:r>
      <w:r w:rsidR="00315262" w:rsidRPr="00314BCC">
        <w:rPr>
          <w:rFonts w:asciiTheme="minorHAnsi" w:eastAsiaTheme="minorHAnsi" w:hAnsiTheme="minorHAnsi" w:cstheme="minorHAnsi"/>
          <w:iCs/>
          <w:sz w:val="22"/>
          <w:szCs w:val="22"/>
          <w:lang w:eastAsia="en-US"/>
        </w:rPr>
        <w:t xml:space="preserve"> a range of</w:t>
      </w:r>
      <w:r w:rsidRPr="00314BCC">
        <w:rPr>
          <w:rFonts w:asciiTheme="minorHAnsi" w:eastAsiaTheme="minorHAnsi" w:hAnsiTheme="minorHAnsi" w:cstheme="minorHAnsi"/>
          <w:iCs/>
          <w:sz w:val="22"/>
          <w:szCs w:val="22"/>
          <w:lang w:eastAsia="en-US"/>
        </w:rPr>
        <w:t xml:space="preserve"> accessories personally liable in the future – directors, contractors, franchis</w:t>
      </w:r>
      <w:r w:rsidR="00315262" w:rsidRPr="00314BCC">
        <w:rPr>
          <w:rFonts w:asciiTheme="minorHAnsi" w:eastAsiaTheme="minorHAnsi" w:hAnsiTheme="minorHAnsi" w:cstheme="minorHAnsi"/>
          <w:iCs/>
          <w:sz w:val="22"/>
          <w:szCs w:val="22"/>
          <w:lang w:eastAsia="en-US"/>
        </w:rPr>
        <w:t>or</w:t>
      </w:r>
      <w:r w:rsidRPr="00314BCC">
        <w:rPr>
          <w:rFonts w:asciiTheme="minorHAnsi" w:eastAsiaTheme="minorHAnsi" w:hAnsiTheme="minorHAnsi" w:cstheme="minorHAnsi"/>
          <w:iCs/>
          <w:sz w:val="22"/>
          <w:szCs w:val="22"/>
          <w:lang w:eastAsia="en-US"/>
        </w:rPr>
        <w:t>s and human resources managers included.</w:t>
      </w:r>
    </w:p>
    <w:p w14:paraId="6B68CB21" w14:textId="3A109D36" w:rsidR="009748EE"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And rest assured, we also refer these sorts of examples to the Australian Securities and Investments Commission. You have to ask whether individuals</w:t>
      </w:r>
      <w:r w:rsidR="00315262" w:rsidRPr="00314BCC">
        <w:rPr>
          <w:rFonts w:asciiTheme="minorHAnsi" w:eastAsiaTheme="minorHAnsi" w:hAnsiTheme="minorHAnsi" w:cstheme="minorHAnsi"/>
          <w:iCs/>
          <w:sz w:val="22"/>
          <w:szCs w:val="22"/>
          <w:lang w:eastAsia="en-US"/>
        </w:rPr>
        <w:t xml:space="preserve"> such as Mr Jennings,</w:t>
      </w:r>
      <w:r w:rsidRPr="00314BCC">
        <w:rPr>
          <w:rFonts w:asciiTheme="minorHAnsi" w:eastAsiaTheme="minorHAnsi" w:hAnsiTheme="minorHAnsi" w:cstheme="minorHAnsi"/>
          <w:iCs/>
          <w:sz w:val="22"/>
          <w:szCs w:val="22"/>
          <w:lang w:eastAsia="en-US"/>
        </w:rPr>
        <w:t xml:space="preserve"> who </w:t>
      </w:r>
      <w:r w:rsidR="00910D67" w:rsidRPr="00314BCC">
        <w:rPr>
          <w:rFonts w:asciiTheme="minorHAnsi" w:eastAsiaTheme="minorHAnsi" w:hAnsiTheme="minorHAnsi" w:cstheme="minorHAnsi"/>
          <w:iCs/>
          <w:sz w:val="22"/>
          <w:szCs w:val="22"/>
          <w:lang w:eastAsia="en-US"/>
        </w:rPr>
        <w:t>blatantly</w:t>
      </w:r>
      <w:r w:rsidR="00315262" w:rsidRPr="00314BCC">
        <w:rPr>
          <w:rFonts w:asciiTheme="minorHAnsi" w:eastAsiaTheme="minorHAnsi" w:hAnsiTheme="minorHAnsi" w:cstheme="minorHAnsi"/>
          <w:iCs/>
          <w:sz w:val="22"/>
          <w:szCs w:val="22"/>
          <w:lang w:eastAsia="en-US"/>
        </w:rPr>
        <w:t xml:space="preserve"> </w:t>
      </w:r>
      <w:r w:rsidRPr="00314BCC">
        <w:rPr>
          <w:rFonts w:asciiTheme="minorHAnsi" w:eastAsiaTheme="minorHAnsi" w:hAnsiTheme="minorHAnsi" w:cstheme="minorHAnsi"/>
          <w:iCs/>
          <w:sz w:val="22"/>
          <w:szCs w:val="22"/>
          <w:lang w:eastAsia="en-US"/>
        </w:rPr>
        <w:t>seek to avoid their legal obligations</w:t>
      </w:r>
      <w:r w:rsidR="00315262" w:rsidRPr="00314BCC">
        <w:rPr>
          <w:rFonts w:asciiTheme="minorHAnsi" w:eastAsiaTheme="minorHAnsi" w:hAnsiTheme="minorHAnsi" w:cstheme="minorHAnsi"/>
          <w:iCs/>
          <w:sz w:val="22"/>
          <w:szCs w:val="22"/>
          <w:lang w:eastAsia="en-US"/>
        </w:rPr>
        <w:t xml:space="preserve"> in this manner,</w:t>
      </w:r>
      <w:r w:rsidRPr="00314BCC">
        <w:rPr>
          <w:rFonts w:asciiTheme="minorHAnsi" w:eastAsiaTheme="minorHAnsi" w:hAnsiTheme="minorHAnsi" w:cstheme="minorHAnsi"/>
          <w:iCs/>
          <w:sz w:val="22"/>
          <w:szCs w:val="22"/>
          <w:lang w:eastAsia="en-US"/>
        </w:rPr>
        <w:t xml:space="preserve"> should be entitled to continue to act as a Director and </w:t>
      </w:r>
      <w:r w:rsidR="00654DE2" w:rsidRPr="00314BCC">
        <w:rPr>
          <w:rFonts w:asciiTheme="minorHAnsi" w:eastAsiaTheme="minorHAnsi" w:hAnsiTheme="minorHAnsi" w:cstheme="minorHAnsi"/>
          <w:iCs/>
          <w:sz w:val="22"/>
          <w:szCs w:val="22"/>
          <w:lang w:eastAsia="en-US"/>
        </w:rPr>
        <w:t xml:space="preserve">benefit from the protection of </w:t>
      </w:r>
      <w:r w:rsidRPr="00314BCC">
        <w:rPr>
          <w:rFonts w:asciiTheme="minorHAnsi" w:eastAsiaTheme="minorHAnsi" w:hAnsiTheme="minorHAnsi" w:cstheme="minorHAnsi"/>
          <w:iCs/>
          <w:sz w:val="22"/>
          <w:szCs w:val="22"/>
          <w:lang w:eastAsia="en-US"/>
        </w:rPr>
        <w:t xml:space="preserve">the corporate veil. </w:t>
      </w:r>
    </w:p>
    <w:p w14:paraId="0627AD51" w14:textId="0C5BD6D9" w:rsidR="004F09A9" w:rsidRPr="00314BCC" w:rsidRDefault="000D78DE" w:rsidP="00314BCC">
      <w:pPr>
        <w:spacing w:after="320" w:line="360" w:lineRule="auto"/>
        <w:jc w:val="center"/>
        <w:rPr>
          <w:rFonts w:asciiTheme="minorHAnsi" w:eastAsiaTheme="minorHAnsi" w:hAnsiTheme="minorHAnsi" w:cstheme="minorHAnsi"/>
          <w:b/>
          <w:iCs/>
          <w:sz w:val="22"/>
          <w:szCs w:val="22"/>
          <w:lang w:eastAsia="en-US"/>
        </w:rPr>
      </w:pPr>
      <w:r>
        <w:rPr>
          <w:rFonts w:asciiTheme="minorHAnsi" w:eastAsiaTheme="minorHAnsi" w:hAnsiTheme="minorHAnsi" w:cstheme="minorHAnsi"/>
          <w:b/>
          <w:iCs/>
          <w:sz w:val="22"/>
          <w:szCs w:val="22"/>
          <w:lang w:eastAsia="en-US"/>
        </w:rPr>
        <w:t>The Full Reach of</w:t>
      </w:r>
      <w:r w:rsidR="00AA7F2E" w:rsidRPr="00314BCC">
        <w:rPr>
          <w:rFonts w:asciiTheme="minorHAnsi" w:eastAsiaTheme="minorHAnsi" w:hAnsiTheme="minorHAnsi" w:cstheme="minorHAnsi"/>
          <w:b/>
          <w:iCs/>
          <w:sz w:val="22"/>
          <w:szCs w:val="22"/>
          <w:lang w:eastAsia="en-US"/>
        </w:rPr>
        <w:t xml:space="preserve"> the Arm </w:t>
      </w:r>
      <w:r>
        <w:rPr>
          <w:rFonts w:asciiTheme="minorHAnsi" w:eastAsiaTheme="minorHAnsi" w:hAnsiTheme="minorHAnsi" w:cstheme="minorHAnsi"/>
          <w:b/>
          <w:iCs/>
          <w:sz w:val="22"/>
          <w:szCs w:val="22"/>
          <w:lang w:eastAsia="en-US"/>
        </w:rPr>
        <w:t>can catch a</w:t>
      </w:r>
      <w:r w:rsidR="00AA7F2E" w:rsidRPr="00314BCC">
        <w:rPr>
          <w:rFonts w:asciiTheme="minorHAnsi" w:eastAsiaTheme="minorHAnsi" w:hAnsiTheme="minorHAnsi" w:cstheme="minorHAnsi"/>
          <w:b/>
          <w:iCs/>
          <w:sz w:val="22"/>
          <w:szCs w:val="22"/>
          <w:lang w:eastAsia="en-US"/>
        </w:rPr>
        <w:t xml:space="preserve"> range of accessories</w:t>
      </w:r>
    </w:p>
    <w:p w14:paraId="36CF4DE5" w14:textId="454E9765"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A year or two ago, most of the accessories in our proceedings were direc</w:t>
      </w:r>
      <w:r w:rsidR="009A50F1" w:rsidRPr="00314BCC">
        <w:rPr>
          <w:rFonts w:asciiTheme="minorHAnsi" w:eastAsiaTheme="minorHAnsi" w:hAnsiTheme="minorHAnsi" w:cstheme="minorHAnsi"/>
          <w:iCs/>
          <w:sz w:val="22"/>
          <w:szCs w:val="22"/>
          <w:lang w:eastAsia="en-US"/>
        </w:rPr>
        <w:t>tors of the corporate employer.</w:t>
      </w:r>
      <w:r w:rsidRPr="00314BCC">
        <w:rPr>
          <w:rFonts w:asciiTheme="minorHAnsi" w:eastAsiaTheme="minorHAnsi" w:hAnsiTheme="minorHAnsi" w:cstheme="minorHAnsi"/>
          <w:iCs/>
          <w:sz w:val="22"/>
          <w:szCs w:val="22"/>
          <w:lang w:eastAsia="en-US"/>
        </w:rPr>
        <w:t xml:space="preserve"> The reasons for this are obvious. The director is the person who leads, manages and controls the employing entity. And is intimately involved in, and ultimately responsible for, the decisions of that entity – including decisions to comply (or not to comply) with workplace laws.</w:t>
      </w:r>
    </w:p>
    <w:p w14:paraId="084C414D" w14:textId="0FFD3B22" w:rsidR="00654DE2" w:rsidRPr="00314BCC" w:rsidRDefault="00654DE2"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lastRenderedPageBreak/>
        <w:t>Over time we have extended</w:t>
      </w:r>
      <w:r w:rsidR="004F09A9" w:rsidRPr="00314BCC">
        <w:rPr>
          <w:rFonts w:asciiTheme="minorHAnsi" w:eastAsiaTheme="minorHAnsi" w:hAnsiTheme="minorHAnsi" w:cstheme="minorHAnsi"/>
          <w:iCs/>
          <w:sz w:val="22"/>
          <w:szCs w:val="22"/>
          <w:lang w:eastAsia="en-US"/>
        </w:rPr>
        <w:t xml:space="preserve"> our use of accessorial liability to other persons involved in the contraventions.  Accessories have included human resources staff</w:t>
      </w:r>
      <w:r w:rsidR="00A954B5" w:rsidRPr="00314BCC">
        <w:rPr>
          <w:rStyle w:val="FootnoteReference"/>
          <w:rFonts w:asciiTheme="minorHAnsi" w:eastAsiaTheme="minorHAnsi" w:hAnsiTheme="minorHAnsi" w:cstheme="minorHAnsi"/>
          <w:iCs/>
          <w:sz w:val="22"/>
          <w:szCs w:val="22"/>
          <w:lang w:eastAsia="en-US"/>
        </w:rPr>
        <w:footnoteReference w:id="2"/>
      </w:r>
      <w:r w:rsidR="00CC2CEF" w:rsidRPr="00314BCC">
        <w:rPr>
          <w:rFonts w:asciiTheme="minorHAnsi" w:eastAsiaTheme="minorHAnsi" w:hAnsiTheme="minorHAnsi" w:cstheme="minorHAnsi"/>
          <w:iCs/>
          <w:sz w:val="22"/>
          <w:szCs w:val="22"/>
          <w:lang w:eastAsia="en-US"/>
        </w:rPr>
        <w:t>; administration or day to day managers</w:t>
      </w:r>
      <w:r w:rsidR="00CC2CEF" w:rsidRPr="00314BCC">
        <w:rPr>
          <w:rStyle w:val="FootnoteReference"/>
          <w:rFonts w:asciiTheme="minorHAnsi" w:hAnsiTheme="minorHAnsi" w:cstheme="minorHAnsi"/>
          <w:sz w:val="22"/>
          <w:szCs w:val="22"/>
          <w:lang w:eastAsia="en-US"/>
        </w:rPr>
        <w:footnoteReference w:id="3"/>
      </w:r>
      <w:r w:rsidR="00CC2CEF" w:rsidRPr="00314BCC">
        <w:rPr>
          <w:rFonts w:asciiTheme="minorHAnsi" w:eastAsiaTheme="minorHAnsi" w:hAnsiTheme="minorHAnsi" w:cstheme="minorHAnsi"/>
          <w:iCs/>
          <w:sz w:val="22"/>
          <w:szCs w:val="22"/>
          <w:lang w:eastAsia="en-US"/>
        </w:rPr>
        <w:t>; staff engaged to assist with recruit</w:t>
      </w:r>
      <w:r w:rsidR="00315262" w:rsidRPr="00314BCC">
        <w:rPr>
          <w:rFonts w:asciiTheme="minorHAnsi" w:eastAsiaTheme="minorHAnsi" w:hAnsiTheme="minorHAnsi" w:cstheme="minorHAnsi"/>
          <w:iCs/>
          <w:sz w:val="22"/>
          <w:szCs w:val="22"/>
          <w:lang w:eastAsia="en-US"/>
        </w:rPr>
        <w:t>ment</w:t>
      </w:r>
      <w:r w:rsidR="00CC2CEF" w:rsidRPr="00314BCC">
        <w:rPr>
          <w:rFonts w:asciiTheme="minorHAnsi" w:eastAsiaTheme="minorHAnsi" w:hAnsiTheme="minorHAnsi" w:cstheme="minorHAnsi"/>
          <w:iCs/>
          <w:sz w:val="22"/>
          <w:szCs w:val="22"/>
          <w:lang w:eastAsia="en-US"/>
        </w:rPr>
        <w:t xml:space="preserve"> and supervision</w:t>
      </w:r>
      <w:r w:rsidR="00CC2CEF" w:rsidRPr="00314BCC">
        <w:rPr>
          <w:rStyle w:val="FootnoteReference"/>
          <w:rFonts w:asciiTheme="minorHAnsi" w:hAnsiTheme="minorHAnsi" w:cstheme="minorHAnsi"/>
          <w:sz w:val="22"/>
          <w:szCs w:val="22"/>
          <w:lang w:eastAsia="en-US"/>
        </w:rPr>
        <w:footnoteReference w:id="4"/>
      </w:r>
      <w:r w:rsidR="00E45408">
        <w:rPr>
          <w:rFonts w:asciiTheme="minorHAnsi" w:eastAsiaTheme="minorHAnsi" w:hAnsiTheme="minorHAnsi" w:cstheme="minorHAnsi"/>
          <w:iCs/>
          <w:sz w:val="22"/>
          <w:szCs w:val="22"/>
          <w:lang w:eastAsia="en-US"/>
        </w:rPr>
        <w:t>;</w:t>
      </w:r>
      <w:r w:rsidR="00CC2CEF" w:rsidRPr="00314BCC">
        <w:rPr>
          <w:rFonts w:asciiTheme="minorHAnsi" w:eastAsiaTheme="minorHAnsi" w:hAnsiTheme="minorHAnsi" w:cstheme="minorHAnsi"/>
          <w:iCs/>
          <w:sz w:val="22"/>
          <w:szCs w:val="22"/>
          <w:lang w:eastAsia="en-US"/>
        </w:rPr>
        <w:t xml:space="preserve"> and other companies or individuals involved through a supply chain or franchise network</w:t>
      </w:r>
      <w:r w:rsidR="00CC2CEF" w:rsidRPr="00314BCC">
        <w:rPr>
          <w:rStyle w:val="FootnoteReference"/>
          <w:rFonts w:asciiTheme="minorHAnsi" w:hAnsiTheme="minorHAnsi" w:cstheme="minorHAnsi"/>
          <w:iCs/>
          <w:sz w:val="22"/>
          <w:szCs w:val="22"/>
        </w:rPr>
        <w:footnoteReference w:id="5"/>
      </w:r>
      <w:r w:rsidRPr="00314BCC">
        <w:rPr>
          <w:rFonts w:asciiTheme="minorHAnsi" w:eastAsiaTheme="minorHAnsi" w:hAnsiTheme="minorHAnsi" w:cstheme="minorHAnsi"/>
          <w:iCs/>
          <w:sz w:val="22"/>
          <w:szCs w:val="22"/>
          <w:lang w:eastAsia="en-US"/>
        </w:rPr>
        <w:t xml:space="preserve">. </w:t>
      </w:r>
    </w:p>
    <w:p w14:paraId="49EC1AF7" w14:textId="32486C15" w:rsidR="004F09A9" w:rsidRPr="00314BCC" w:rsidRDefault="00654DE2"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When do we consider</w:t>
      </w:r>
      <w:r w:rsidR="00315262" w:rsidRPr="00314BCC">
        <w:rPr>
          <w:rFonts w:asciiTheme="minorHAnsi" w:eastAsiaTheme="minorHAnsi" w:hAnsiTheme="minorHAnsi" w:cstheme="minorHAnsi"/>
          <w:iCs/>
          <w:sz w:val="22"/>
          <w:szCs w:val="22"/>
          <w:lang w:eastAsia="en-US"/>
        </w:rPr>
        <w:t xml:space="preserve"> such personnel should be held l</w:t>
      </w:r>
      <w:r w:rsidRPr="00314BCC">
        <w:rPr>
          <w:rFonts w:asciiTheme="minorHAnsi" w:eastAsiaTheme="minorHAnsi" w:hAnsiTheme="minorHAnsi" w:cstheme="minorHAnsi"/>
          <w:iCs/>
          <w:sz w:val="22"/>
          <w:szCs w:val="22"/>
          <w:lang w:eastAsia="en-US"/>
        </w:rPr>
        <w:t>egally accountable? We consider the part they</w:t>
      </w:r>
      <w:r w:rsidR="004F09A9" w:rsidRPr="00314BCC">
        <w:rPr>
          <w:rFonts w:asciiTheme="minorHAnsi" w:eastAsiaTheme="minorHAnsi" w:hAnsiTheme="minorHAnsi" w:cstheme="minorHAnsi"/>
          <w:iCs/>
          <w:sz w:val="22"/>
          <w:szCs w:val="22"/>
          <w:lang w:eastAsia="en-US"/>
        </w:rPr>
        <w:t xml:space="preserve"> have played</w:t>
      </w:r>
      <w:r w:rsidR="009A50F1" w:rsidRPr="00314BCC">
        <w:rPr>
          <w:rFonts w:asciiTheme="minorHAnsi" w:eastAsiaTheme="minorHAnsi" w:hAnsiTheme="minorHAnsi" w:cstheme="minorHAnsi"/>
          <w:iCs/>
          <w:sz w:val="22"/>
          <w:szCs w:val="22"/>
          <w:lang w:eastAsia="en-US"/>
        </w:rPr>
        <w:t>,</w:t>
      </w:r>
      <w:r w:rsidR="004F09A9" w:rsidRPr="00314BCC">
        <w:rPr>
          <w:rFonts w:asciiTheme="minorHAnsi" w:eastAsiaTheme="minorHAnsi" w:hAnsiTheme="minorHAnsi" w:cstheme="minorHAnsi"/>
          <w:iCs/>
          <w:sz w:val="22"/>
          <w:szCs w:val="22"/>
          <w:lang w:eastAsia="en-US"/>
        </w:rPr>
        <w:t xml:space="preserve"> the conduct that has led to underpayment of employees</w:t>
      </w:r>
      <w:r w:rsidRPr="00314BCC">
        <w:rPr>
          <w:rFonts w:asciiTheme="minorHAnsi" w:eastAsiaTheme="minorHAnsi" w:hAnsiTheme="minorHAnsi" w:cstheme="minorHAnsi"/>
          <w:iCs/>
          <w:sz w:val="22"/>
          <w:szCs w:val="22"/>
          <w:lang w:eastAsia="en-US"/>
        </w:rPr>
        <w:t xml:space="preserve"> and, as is always case, whether the conduct was deliberate. </w:t>
      </w:r>
    </w:p>
    <w:p w14:paraId="27DD9AD5" w14:textId="77777777" w:rsidR="00315262" w:rsidRPr="00314BCC" w:rsidRDefault="00315262"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Let me give you some more examples to give you a better sense of what this looks like.</w:t>
      </w:r>
    </w:p>
    <w:p w14:paraId="01D3483B" w14:textId="1F673806"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In </w:t>
      </w:r>
      <w:r w:rsidR="00CC2CEF" w:rsidRPr="00314BCC">
        <w:rPr>
          <w:rFonts w:asciiTheme="minorHAnsi" w:eastAsiaTheme="minorHAnsi" w:hAnsiTheme="minorHAnsi" w:cstheme="minorHAnsi"/>
          <w:iCs/>
          <w:sz w:val="22"/>
          <w:szCs w:val="22"/>
          <w:lang w:eastAsia="en-US"/>
        </w:rPr>
        <w:t>December</w:t>
      </w:r>
      <w:r w:rsidRPr="00314BCC">
        <w:rPr>
          <w:rFonts w:asciiTheme="minorHAnsi" w:eastAsiaTheme="minorHAnsi" w:hAnsiTheme="minorHAnsi" w:cstheme="minorHAnsi"/>
          <w:iCs/>
          <w:sz w:val="22"/>
          <w:szCs w:val="22"/>
          <w:lang w:eastAsia="en-US"/>
        </w:rPr>
        <w:t xml:space="preserve"> </w:t>
      </w:r>
      <w:r w:rsidR="00CC2CEF" w:rsidRPr="00314BCC">
        <w:rPr>
          <w:rFonts w:asciiTheme="minorHAnsi" w:eastAsiaTheme="minorHAnsi" w:hAnsiTheme="minorHAnsi" w:cstheme="minorHAnsi"/>
          <w:iCs/>
          <w:sz w:val="22"/>
          <w:szCs w:val="22"/>
          <w:lang w:eastAsia="en-US"/>
        </w:rPr>
        <w:t>last</w:t>
      </w:r>
      <w:r w:rsidRPr="00314BCC">
        <w:rPr>
          <w:rFonts w:asciiTheme="minorHAnsi" w:eastAsiaTheme="minorHAnsi" w:hAnsiTheme="minorHAnsi" w:cstheme="minorHAnsi"/>
          <w:iCs/>
          <w:sz w:val="22"/>
          <w:szCs w:val="22"/>
          <w:lang w:eastAsia="en-US"/>
        </w:rPr>
        <w:t xml:space="preserve"> year, we initiated our first proceedings against a third-party accountancy firm as an accessory.  We allege that this firm processed wage payments for workers at a Melbourne fast food restaurant, despite having explicit knowledge that those payments were well below the award rate.  </w:t>
      </w:r>
      <w:r w:rsidR="00654DE2" w:rsidRPr="00314BCC">
        <w:rPr>
          <w:rFonts w:asciiTheme="minorHAnsi" w:eastAsiaTheme="minorHAnsi" w:hAnsiTheme="minorHAnsi" w:cstheme="minorHAnsi"/>
          <w:iCs/>
          <w:sz w:val="22"/>
          <w:szCs w:val="22"/>
          <w:lang w:eastAsia="en-US"/>
        </w:rPr>
        <w:t>T</w:t>
      </w:r>
      <w:r w:rsidRPr="00314BCC">
        <w:rPr>
          <w:rFonts w:asciiTheme="minorHAnsi" w:eastAsiaTheme="minorHAnsi" w:hAnsiTheme="minorHAnsi" w:cstheme="minorHAnsi"/>
          <w:iCs/>
          <w:sz w:val="22"/>
          <w:szCs w:val="22"/>
          <w:lang w:eastAsia="en-US"/>
        </w:rPr>
        <w:t>he accounting firm now face</w:t>
      </w:r>
      <w:r w:rsidR="00CC2CEF" w:rsidRPr="00314BCC">
        <w:rPr>
          <w:rFonts w:asciiTheme="minorHAnsi" w:eastAsiaTheme="minorHAnsi" w:hAnsiTheme="minorHAnsi" w:cstheme="minorHAnsi"/>
          <w:iCs/>
          <w:sz w:val="22"/>
          <w:szCs w:val="22"/>
          <w:lang w:eastAsia="en-US"/>
        </w:rPr>
        <w:t>s</w:t>
      </w:r>
      <w:r w:rsidRPr="00314BCC">
        <w:rPr>
          <w:rFonts w:asciiTheme="minorHAnsi" w:eastAsiaTheme="minorHAnsi" w:hAnsiTheme="minorHAnsi" w:cstheme="minorHAnsi"/>
          <w:iCs/>
          <w:sz w:val="22"/>
          <w:szCs w:val="22"/>
          <w:lang w:eastAsia="en-US"/>
        </w:rPr>
        <w:t xml:space="preserve"> penalties of up to $5</w:t>
      </w:r>
      <w:r w:rsidR="00CC2CEF" w:rsidRPr="00314BCC">
        <w:rPr>
          <w:rFonts w:asciiTheme="minorHAnsi" w:eastAsiaTheme="minorHAnsi" w:hAnsiTheme="minorHAnsi" w:cstheme="minorHAnsi"/>
          <w:iCs/>
          <w:sz w:val="22"/>
          <w:szCs w:val="22"/>
          <w:lang w:eastAsia="en-US"/>
        </w:rPr>
        <w:t>1</w:t>
      </w:r>
      <w:r w:rsidRPr="00314BCC">
        <w:rPr>
          <w:rFonts w:asciiTheme="minorHAnsi" w:eastAsiaTheme="minorHAnsi" w:hAnsiTheme="minorHAnsi" w:cstheme="minorHAnsi"/>
          <w:iCs/>
          <w:sz w:val="22"/>
          <w:szCs w:val="22"/>
          <w:lang w:eastAsia="en-US"/>
        </w:rPr>
        <w:t>,000 per breach</w:t>
      </w:r>
      <w:r w:rsidR="00654DE2" w:rsidRPr="00314BCC">
        <w:rPr>
          <w:rFonts w:asciiTheme="minorHAnsi" w:eastAsiaTheme="minorHAnsi" w:hAnsiTheme="minorHAnsi" w:cstheme="minorHAnsi"/>
          <w:iCs/>
          <w:sz w:val="22"/>
          <w:szCs w:val="22"/>
          <w:lang w:eastAsia="en-US"/>
        </w:rPr>
        <w:t>.</w:t>
      </w:r>
      <w:r w:rsidR="009A50F1" w:rsidRPr="00314BCC">
        <w:rPr>
          <w:rFonts w:asciiTheme="minorHAnsi" w:eastAsiaTheme="minorHAnsi" w:hAnsiTheme="minorHAnsi" w:cstheme="minorHAnsi"/>
          <w:iCs/>
          <w:sz w:val="22"/>
          <w:szCs w:val="22"/>
          <w:lang w:eastAsia="en-US"/>
        </w:rPr>
        <w:t xml:space="preserve"> </w:t>
      </w:r>
      <w:r w:rsidR="00315262" w:rsidRPr="00314BCC">
        <w:rPr>
          <w:rFonts w:asciiTheme="minorHAnsi" w:eastAsiaTheme="minorHAnsi" w:hAnsiTheme="minorHAnsi" w:cstheme="minorHAnsi"/>
          <w:iCs/>
          <w:sz w:val="22"/>
          <w:szCs w:val="22"/>
          <w:lang w:eastAsia="en-US"/>
        </w:rPr>
        <w:t xml:space="preserve">Our view is that accountants’ professional responsibility demands that they cannot close their eyes to breaches of the law by their clients. </w:t>
      </w:r>
    </w:p>
    <w:p w14:paraId="2186B263" w14:textId="04D6CFDD" w:rsidR="004F09A9" w:rsidRPr="00314BCC" w:rsidRDefault="00654DE2"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In a</w:t>
      </w:r>
      <w:r w:rsidR="004F09A9" w:rsidRPr="00314BCC">
        <w:rPr>
          <w:rFonts w:asciiTheme="minorHAnsi" w:eastAsiaTheme="minorHAnsi" w:hAnsiTheme="minorHAnsi" w:cstheme="minorHAnsi"/>
          <w:iCs/>
          <w:sz w:val="22"/>
          <w:szCs w:val="22"/>
          <w:lang w:eastAsia="en-US"/>
        </w:rPr>
        <w:t>nothe</w:t>
      </w:r>
      <w:r w:rsidR="009A50F1" w:rsidRPr="00314BCC">
        <w:rPr>
          <w:rFonts w:asciiTheme="minorHAnsi" w:eastAsiaTheme="minorHAnsi" w:hAnsiTheme="minorHAnsi" w:cstheme="minorHAnsi"/>
          <w:iCs/>
          <w:sz w:val="22"/>
          <w:szCs w:val="22"/>
          <w:lang w:eastAsia="en-US"/>
        </w:rPr>
        <w:t>r matter that we recently filed</w:t>
      </w:r>
      <w:r w:rsidR="004F09A9" w:rsidRPr="00314BCC">
        <w:rPr>
          <w:rFonts w:asciiTheme="minorHAnsi" w:eastAsiaTheme="minorHAnsi" w:hAnsiTheme="minorHAnsi" w:cstheme="minorHAnsi"/>
          <w:iCs/>
          <w:sz w:val="22"/>
          <w:szCs w:val="22"/>
          <w:lang w:eastAsia="en-US"/>
        </w:rPr>
        <w:t xml:space="preserve"> against the operators of Chinese restaurants in Australia and Shanghai</w:t>
      </w:r>
      <w:r w:rsidRPr="00314BCC">
        <w:rPr>
          <w:rFonts w:asciiTheme="minorHAnsi" w:eastAsiaTheme="minorHAnsi" w:hAnsiTheme="minorHAnsi" w:cstheme="minorHAnsi"/>
          <w:iCs/>
          <w:sz w:val="22"/>
          <w:szCs w:val="22"/>
          <w:lang w:eastAsia="en-US"/>
        </w:rPr>
        <w:t xml:space="preserve">, </w:t>
      </w:r>
      <w:r w:rsidR="004F09A9" w:rsidRPr="00314BCC">
        <w:rPr>
          <w:rFonts w:asciiTheme="minorHAnsi" w:eastAsiaTheme="minorHAnsi" w:hAnsiTheme="minorHAnsi" w:cstheme="minorHAnsi"/>
          <w:iCs/>
          <w:sz w:val="22"/>
          <w:szCs w:val="22"/>
          <w:lang w:eastAsia="en-US"/>
        </w:rPr>
        <w:t>we have named the director, the restaurant manager and the human resources manager as accessories</w:t>
      </w:r>
      <w:r w:rsidR="00315262" w:rsidRPr="00314BCC">
        <w:rPr>
          <w:rFonts w:asciiTheme="minorHAnsi" w:eastAsiaTheme="minorHAnsi" w:hAnsiTheme="minorHAnsi" w:cstheme="minorHAnsi"/>
          <w:iCs/>
          <w:sz w:val="22"/>
          <w:szCs w:val="22"/>
          <w:lang w:eastAsia="en-US"/>
        </w:rPr>
        <w:t>.</w:t>
      </w:r>
      <w:r w:rsidR="009A50F1" w:rsidRPr="00314BCC">
        <w:rPr>
          <w:rFonts w:asciiTheme="minorHAnsi" w:eastAsiaTheme="minorHAnsi" w:hAnsiTheme="minorHAnsi" w:cstheme="minorHAnsi"/>
          <w:iCs/>
          <w:sz w:val="22"/>
          <w:szCs w:val="22"/>
          <w:lang w:eastAsia="en-US"/>
        </w:rPr>
        <w:t xml:space="preserve"> </w:t>
      </w:r>
      <w:r w:rsidRPr="00314BCC">
        <w:rPr>
          <w:rFonts w:asciiTheme="minorHAnsi" w:eastAsiaTheme="minorHAnsi" w:hAnsiTheme="minorHAnsi" w:cstheme="minorHAnsi"/>
          <w:iCs/>
          <w:sz w:val="22"/>
          <w:szCs w:val="22"/>
          <w:lang w:eastAsia="en-US"/>
        </w:rPr>
        <w:t xml:space="preserve">We say they were involved </w:t>
      </w:r>
      <w:r w:rsidR="004F09A9" w:rsidRPr="00314BCC">
        <w:rPr>
          <w:rFonts w:asciiTheme="minorHAnsi" w:eastAsiaTheme="minorHAnsi" w:hAnsiTheme="minorHAnsi" w:cstheme="minorHAnsi"/>
          <w:iCs/>
          <w:sz w:val="22"/>
          <w:szCs w:val="22"/>
          <w:lang w:eastAsia="en-US"/>
        </w:rPr>
        <w:t>in the underpayment of hospitality staff employed by the company.</w:t>
      </w:r>
    </w:p>
    <w:p w14:paraId="47764739" w14:textId="38C860FD"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We allege in this case, that the business presented us with one set of records, purporting to demonstrate that all employees were paid correctly. </w:t>
      </w:r>
    </w:p>
    <w:p w14:paraId="1F973C96" w14:textId="77777777"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However, after engaging legal representation, a different set of records was produced, this time showing a range of underpayments. </w:t>
      </w:r>
    </w:p>
    <w:p w14:paraId="43F40315" w14:textId="1C2B2032" w:rsidR="000A483C" w:rsidRPr="00314BCC" w:rsidRDefault="000A483C"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When </w:t>
      </w:r>
      <w:r w:rsidR="00315262" w:rsidRPr="00314BCC">
        <w:rPr>
          <w:rFonts w:asciiTheme="minorHAnsi" w:eastAsiaTheme="minorHAnsi" w:hAnsiTheme="minorHAnsi" w:cstheme="minorHAnsi"/>
          <w:iCs/>
          <w:sz w:val="22"/>
          <w:szCs w:val="22"/>
          <w:lang w:eastAsia="en-US"/>
        </w:rPr>
        <w:t xml:space="preserve">deciding which entities or individuals to include in our action, </w:t>
      </w:r>
      <w:r w:rsidRPr="00314BCC">
        <w:rPr>
          <w:rFonts w:asciiTheme="minorHAnsi" w:eastAsiaTheme="minorHAnsi" w:hAnsiTheme="minorHAnsi" w:cstheme="minorHAnsi"/>
          <w:iCs/>
          <w:sz w:val="22"/>
          <w:szCs w:val="22"/>
          <w:lang w:eastAsia="en-US"/>
        </w:rPr>
        <w:t xml:space="preserve">we were mindful of the serious and deliberate nature </w:t>
      </w:r>
      <w:r w:rsidR="00315262" w:rsidRPr="00314BCC">
        <w:rPr>
          <w:rFonts w:asciiTheme="minorHAnsi" w:eastAsiaTheme="minorHAnsi" w:hAnsiTheme="minorHAnsi" w:cstheme="minorHAnsi"/>
          <w:iCs/>
          <w:sz w:val="22"/>
          <w:szCs w:val="22"/>
          <w:lang w:eastAsia="en-US"/>
        </w:rPr>
        <w:t>of the</w:t>
      </w:r>
      <w:r w:rsidR="009A50F1" w:rsidRPr="00314BCC">
        <w:rPr>
          <w:rFonts w:asciiTheme="minorHAnsi" w:eastAsiaTheme="minorHAnsi" w:hAnsiTheme="minorHAnsi" w:cstheme="minorHAnsi"/>
          <w:iCs/>
          <w:sz w:val="22"/>
          <w:szCs w:val="22"/>
          <w:lang w:eastAsia="en-US"/>
        </w:rPr>
        <w:t xml:space="preserve"> alleged misconduct</w:t>
      </w:r>
      <w:r w:rsidRPr="00314BCC">
        <w:rPr>
          <w:rFonts w:asciiTheme="minorHAnsi" w:eastAsiaTheme="minorHAnsi" w:hAnsiTheme="minorHAnsi" w:cstheme="minorHAnsi"/>
          <w:iCs/>
          <w:sz w:val="22"/>
          <w:szCs w:val="22"/>
          <w:lang w:eastAsia="en-US"/>
        </w:rPr>
        <w:t>.</w:t>
      </w:r>
    </w:p>
    <w:p w14:paraId="07FC0908" w14:textId="03270CCE"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lastRenderedPageBreak/>
        <w:t xml:space="preserve">We say that the individuals involved in the alleged </w:t>
      </w:r>
      <w:r w:rsidR="00A954B5" w:rsidRPr="00314BCC">
        <w:rPr>
          <w:rFonts w:asciiTheme="minorHAnsi" w:eastAsiaTheme="minorHAnsi" w:hAnsiTheme="minorHAnsi" w:cstheme="minorHAnsi"/>
          <w:iCs/>
          <w:sz w:val="22"/>
          <w:szCs w:val="22"/>
          <w:lang w:eastAsia="en-US"/>
        </w:rPr>
        <w:t>production of the false records or</w:t>
      </w:r>
      <w:r w:rsidRPr="00314BCC">
        <w:rPr>
          <w:rFonts w:asciiTheme="minorHAnsi" w:eastAsiaTheme="minorHAnsi" w:hAnsiTheme="minorHAnsi" w:cstheme="minorHAnsi"/>
          <w:iCs/>
          <w:sz w:val="22"/>
          <w:szCs w:val="22"/>
          <w:lang w:eastAsia="en-US"/>
        </w:rPr>
        <w:t xml:space="preserve"> who made use of them by handing them to my Inspectors, ought to be held accountable as accessories for that deceptive and unlawful conduct. </w:t>
      </w:r>
    </w:p>
    <w:p w14:paraId="4E014ABE" w14:textId="40F54C7E" w:rsidR="00A45583"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Their external lawyer clearly saw that this was unacceptable</w:t>
      </w:r>
      <w:r w:rsidR="003C59E7" w:rsidRPr="00314BCC">
        <w:rPr>
          <w:rFonts w:asciiTheme="minorHAnsi" w:eastAsiaTheme="minorHAnsi" w:hAnsiTheme="minorHAnsi" w:cstheme="minorHAnsi"/>
          <w:iCs/>
          <w:sz w:val="22"/>
          <w:szCs w:val="22"/>
          <w:lang w:eastAsia="en-US"/>
        </w:rPr>
        <w:t>, and advised the company t</w:t>
      </w:r>
      <w:r w:rsidRPr="00314BCC">
        <w:rPr>
          <w:rFonts w:asciiTheme="minorHAnsi" w:eastAsiaTheme="minorHAnsi" w:hAnsiTheme="minorHAnsi" w:cstheme="minorHAnsi"/>
          <w:iCs/>
          <w:sz w:val="22"/>
          <w:szCs w:val="22"/>
          <w:lang w:eastAsia="en-US"/>
        </w:rPr>
        <w:t>o hand over the ‘real’ records.  And</w:t>
      </w:r>
      <w:r w:rsidR="003C59E7" w:rsidRPr="00314BCC">
        <w:rPr>
          <w:rFonts w:asciiTheme="minorHAnsi" w:eastAsiaTheme="minorHAnsi" w:hAnsiTheme="minorHAnsi" w:cstheme="minorHAnsi"/>
          <w:iCs/>
          <w:sz w:val="22"/>
          <w:szCs w:val="22"/>
          <w:lang w:eastAsia="en-US"/>
        </w:rPr>
        <w:t xml:space="preserve"> </w:t>
      </w:r>
      <w:r w:rsidRPr="00314BCC">
        <w:rPr>
          <w:rFonts w:asciiTheme="minorHAnsi" w:eastAsiaTheme="minorHAnsi" w:hAnsiTheme="minorHAnsi" w:cstheme="minorHAnsi"/>
          <w:iCs/>
          <w:sz w:val="22"/>
          <w:szCs w:val="22"/>
          <w:lang w:eastAsia="en-US"/>
        </w:rPr>
        <w:t>if that lawyer hadn’t, we’d have considered extending our action to that firm.</w:t>
      </w:r>
    </w:p>
    <w:p w14:paraId="670DFC4B" w14:textId="09DF2EFE" w:rsidR="004F09A9" w:rsidRPr="00314BCC" w:rsidRDefault="00AA7F2E" w:rsidP="00314BCC">
      <w:pPr>
        <w:spacing w:after="320" w:line="360" w:lineRule="auto"/>
        <w:jc w:val="center"/>
        <w:rPr>
          <w:rFonts w:asciiTheme="minorHAnsi" w:eastAsiaTheme="minorHAnsi" w:hAnsiTheme="minorHAnsi" w:cstheme="minorHAnsi"/>
          <w:b/>
          <w:iCs/>
          <w:sz w:val="22"/>
          <w:szCs w:val="22"/>
          <w:lang w:eastAsia="en-US"/>
        </w:rPr>
      </w:pPr>
      <w:r w:rsidRPr="00314BCC">
        <w:rPr>
          <w:rFonts w:asciiTheme="minorHAnsi" w:eastAsiaTheme="minorHAnsi" w:hAnsiTheme="minorHAnsi" w:cstheme="minorHAnsi"/>
          <w:b/>
          <w:iCs/>
          <w:sz w:val="22"/>
          <w:szCs w:val="22"/>
          <w:lang w:eastAsia="en-US"/>
        </w:rPr>
        <w:t xml:space="preserve">The Long Arm </w:t>
      </w:r>
      <w:r w:rsidR="000D78DE">
        <w:rPr>
          <w:rFonts w:asciiTheme="minorHAnsi" w:eastAsiaTheme="minorHAnsi" w:hAnsiTheme="minorHAnsi" w:cstheme="minorHAnsi"/>
          <w:b/>
          <w:iCs/>
          <w:sz w:val="22"/>
          <w:szCs w:val="22"/>
          <w:lang w:eastAsia="en-US"/>
        </w:rPr>
        <w:t>can deploy</w:t>
      </w:r>
      <w:r w:rsidRPr="00314BCC">
        <w:rPr>
          <w:rFonts w:asciiTheme="minorHAnsi" w:eastAsiaTheme="minorHAnsi" w:hAnsiTheme="minorHAnsi" w:cstheme="minorHAnsi"/>
          <w:b/>
          <w:iCs/>
          <w:sz w:val="22"/>
          <w:szCs w:val="22"/>
          <w:lang w:eastAsia="en-US"/>
        </w:rPr>
        <w:t xml:space="preserve"> a </w:t>
      </w:r>
      <w:r w:rsidR="00A77922">
        <w:rPr>
          <w:rFonts w:asciiTheme="minorHAnsi" w:eastAsiaTheme="minorHAnsi" w:hAnsiTheme="minorHAnsi" w:cstheme="minorHAnsi"/>
          <w:b/>
          <w:iCs/>
          <w:sz w:val="22"/>
          <w:szCs w:val="22"/>
          <w:lang w:eastAsia="en-US"/>
        </w:rPr>
        <w:t>range</w:t>
      </w:r>
      <w:r w:rsidRPr="00314BCC">
        <w:rPr>
          <w:rFonts w:asciiTheme="minorHAnsi" w:eastAsiaTheme="minorHAnsi" w:hAnsiTheme="minorHAnsi" w:cstheme="minorHAnsi"/>
          <w:b/>
          <w:iCs/>
          <w:sz w:val="22"/>
          <w:szCs w:val="22"/>
          <w:lang w:eastAsia="en-US"/>
        </w:rPr>
        <w:t xml:space="preserve"> of </w:t>
      </w:r>
      <w:r w:rsidR="00A77922">
        <w:rPr>
          <w:rFonts w:asciiTheme="minorHAnsi" w:eastAsiaTheme="minorHAnsi" w:hAnsiTheme="minorHAnsi" w:cstheme="minorHAnsi"/>
          <w:b/>
          <w:iCs/>
          <w:sz w:val="22"/>
          <w:szCs w:val="22"/>
          <w:lang w:eastAsia="en-US"/>
        </w:rPr>
        <w:t>tools</w:t>
      </w:r>
    </w:p>
    <w:p w14:paraId="47CE2E54" w14:textId="10158BD1" w:rsidR="004F09A9" w:rsidRPr="00314BCC" w:rsidRDefault="00315262"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O</w:t>
      </w:r>
      <w:r w:rsidR="004F09A9" w:rsidRPr="00314BCC">
        <w:rPr>
          <w:rFonts w:asciiTheme="minorHAnsi" w:eastAsiaTheme="minorHAnsi" w:hAnsiTheme="minorHAnsi" w:cstheme="minorHAnsi"/>
          <w:iCs/>
          <w:sz w:val="22"/>
          <w:szCs w:val="22"/>
          <w:lang w:eastAsia="en-US"/>
        </w:rPr>
        <w:t>ur adventurous approach does not end with the range of accessories we are joining to our actions.</w:t>
      </w:r>
    </w:p>
    <w:p w14:paraId="4BD41BCA" w14:textId="575ACBBF"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My lawyers have be</w:t>
      </w:r>
      <w:r w:rsidR="003C59E7" w:rsidRPr="00314BCC">
        <w:rPr>
          <w:rFonts w:asciiTheme="minorHAnsi" w:eastAsiaTheme="minorHAnsi" w:hAnsiTheme="minorHAnsi" w:cstheme="minorHAnsi"/>
          <w:iCs/>
          <w:sz w:val="22"/>
          <w:szCs w:val="22"/>
          <w:lang w:eastAsia="en-US"/>
        </w:rPr>
        <w:t>e</w:t>
      </w:r>
      <w:r w:rsidRPr="00314BCC">
        <w:rPr>
          <w:rFonts w:asciiTheme="minorHAnsi" w:eastAsiaTheme="minorHAnsi" w:hAnsiTheme="minorHAnsi" w:cstheme="minorHAnsi"/>
          <w:iCs/>
          <w:sz w:val="22"/>
          <w:szCs w:val="22"/>
          <w:lang w:eastAsia="en-US"/>
        </w:rPr>
        <w:t>n getting creative about the nature of the orders we are seeking.</w:t>
      </w:r>
    </w:p>
    <w:p w14:paraId="233AF4F8" w14:textId="25A18C32"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The Courts have shown a preparedness to make a range of orders – injunctions against future contraventions of the Act, freezing orders to prevent the shifting of assets to defeat employee creditors, and even orders to compel employers and individuals to commission (at their own expense) audits of their entire payroll and training in respect of workplace obligations. </w:t>
      </w:r>
    </w:p>
    <w:p w14:paraId="1F41E6CA" w14:textId="3FDC975F"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More than one businessperson is now enjoined from future contraventions of the Fair Work Act as the result of injunctions obtained by the F</w:t>
      </w:r>
      <w:r w:rsidR="00314BCC">
        <w:rPr>
          <w:rFonts w:asciiTheme="minorHAnsi" w:eastAsiaTheme="minorHAnsi" w:hAnsiTheme="minorHAnsi" w:cstheme="minorHAnsi"/>
          <w:iCs/>
          <w:sz w:val="22"/>
          <w:szCs w:val="22"/>
          <w:lang w:eastAsia="en-US"/>
        </w:rPr>
        <w:t xml:space="preserve">air </w:t>
      </w:r>
      <w:r w:rsidRPr="00314BCC">
        <w:rPr>
          <w:rFonts w:asciiTheme="minorHAnsi" w:eastAsiaTheme="minorHAnsi" w:hAnsiTheme="minorHAnsi" w:cstheme="minorHAnsi"/>
          <w:iCs/>
          <w:sz w:val="22"/>
          <w:szCs w:val="22"/>
          <w:lang w:eastAsia="en-US"/>
        </w:rPr>
        <w:t>W</w:t>
      </w:r>
      <w:r w:rsidR="00314BCC">
        <w:rPr>
          <w:rFonts w:asciiTheme="minorHAnsi" w:eastAsiaTheme="minorHAnsi" w:hAnsiTheme="minorHAnsi" w:cstheme="minorHAnsi"/>
          <w:iCs/>
          <w:sz w:val="22"/>
          <w:szCs w:val="22"/>
          <w:lang w:eastAsia="en-US"/>
        </w:rPr>
        <w:t xml:space="preserve">ork </w:t>
      </w:r>
      <w:r w:rsidRPr="00314BCC">
        <w:rPr>
          <w:rFonts w:asciiTheme="minorHAnsi" w:eastAsiaTheme="minorHAnsi" w:hAnsiTheme="minorHAnsi" w:cstheme="minorHAnsi"/>
          <w:iCs/>
          <w:sz w:val="22"/>
          <w:szCs w:val="22"/>
          <w:lang w:eastAsia="en-US"/>
        </w:rPr>
        <w:t>O</w:t>
      </w:r>
      <w:r w:rsidR="00314BCC">
        <w:rPr>
          <w:rFonts w:asciiTheme="minorHAnsi" w:eastAsiaTheme="minorHAnsi" w:hAnsiTheme="minorHAnsi" w:cstheme="minorHAnsi"/>
          <w:iCs/>
          <w:sz w:val="22"/>
          <w:szCs w:val="22"/>
          <w:lang w:eastAsia="en-US"/>
        </w:rPr>
        <w:t>mbudsman</w:t>
      </w:r>
      <w:r w:rsidR="00027750" w:rsidRPr="00314BCC">
        <w:rPr>
          <w:rStyle w:val="FootnoteReference"/>
          <w:rFonts w:asciiTheme="minorHAnsi" w:eastAsiaTheme="minorHAnsi" w:hAnsiTheme="minorHAnsi" w:cstheme="minorHAnsi"/>
          <w:iCs/>
          <w:sz w:val="22"/>
          <w:szCs w:val="22"/>
          <w:lang w:eastAsia="en-US"/>
        </w:rPr>
        <w:footnoteReference w:id="6"/>
      </w:r>
      <w:r w:rsidR="00315262" w:rsidRPr="00314BCC">
        <w:rPr>
          <w:rFonts w:asciiTheme="minorHAnsi" w:eastAsiaTheme="minorHAnsi" w:hAnsiTheme="minorHAnsi" w:cstheme="minorHAnsi"/>
          <w:iCs/>
          <w:sz w:val="22"/>
          <w:szCs w:val="22"/>
          <w:lang w:eastAsia="en-US"/>
        </w:rPr>
        <w:t>.</w:t>
      </w:r>
      <w:r w:rsidRPr="00314BCC">
        <w:rPr>
          <w:rFonts w:asciiTheme="minorHAnsi" w:eastAsiaTheme="minorHAnsi" w:hAnsiTheme="minorHAnsi" w:cstheme="minorHAnsi"/>
          <w:iCs/>
          <w:sz w:val="22"/>
          <w:szCs w:val="22"/>
          <w:lang w:eastAsia="en-US"/>
        </w:rPr>
        <w:t xml:space="preserve"> </w:t>
      </w:r>
      <w:r w:rsidR="00315262" w:rsidRPr="00314BCC">
        <w:rPr>
          <w:rFonts w:asciiTheme="minorHAnsi" w:eastAsiaTheme="minorHAnsi" w:hAnsiTheme="minorHAnsi" w:cstheme="minorHAnsi"/>
          <w:iCs/>
          <w:sz w:val="22"/>
          <w:szCs w:val="22"/>
          <w:lang w:eastAsia="en-US"/>
        </w:rPr>
        <w:t>If</w:t>
      </w:r>
      <w:r w:rsidRPr="00314BCC">
        <w:rPr>
          <w:rFonts w:asciiTheme="minorHAnsi" w:eastAsiaTheme="minorHAnsi" w:hAnsiTheme="minorHAnsi" w:cstheme="minorHAnsi"/>
          <w:iCs/>
          <w:sz w:val="22"/>
          <w:szCs w:val="22"/>
          <w:lang w:eastAsia="en-US"/>
        </w:rPr>
        <w:t xml:space="preserve"> any of those individuals </w:t>
      </w:r>
      <w:r w:rsidR="00E45408">
        <w:rPr>
          <w:rFonts w:asciiTheme="minorHAnsi" w:eastAsiaTheme="minorHAnsi" w:hAnsiTheme="minorHAnsi" w:cstheme="minorHAnsi"/>
          <w:iCs/>
          <w:sz w:val="22"/>
          <w:szCs w:val="22"/>
          <w:lang w:eastAsia="en-US"/>
        </w:rPr>
        <w:t>are</w:t>
      </w:r>
      <w:r w:rsidRPr="00314BCC">
        <w:rPr>
          <w:rFonts w:asciiTheme="minorHAnsi" w:eastAsiaTheme="minorHAnsi" w:hAnsiTheme="minorHAnsi" w:cstheme="minorHAnsi"/>
          <w:iCs/>
          <w:sz w:val="22"/>
          <w:szCs w:val="22"/>
          <w:lang w:eastAsia="en-US"/>
        </w:rPr>
        <w:t xml:space="preserve"> caught out again then the consequences for them will include a proceeding for contempt of the Court. </w:t>
      </w:r>
    </w:p>
    <w:p w14:paraId="29757172" w14:textId="77777777"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 xml:space="preserve">A very recent example shows how we can extend liability beyond individuals to other corporate entities in a network or supply chain.  </w:t>
      </w:r>
    </w:p>
    <w:p w14:paraId="198DE15B" w14:textId="0CA7E4CE" w:rsidR="004F09A9" w:rsidRPr="00314BCC" w:rsidRDefault="004F09A9" w:rsidP="004F09A9">
      <w:pPr>
        <w:spacing w:after="320" w:line="360" w:lineRule="auto"/>
        <w:rPr>
          <w:rFonts w:asciiTheme="minorHAnsi" w:eastAsiaTheme="minorHAnsi" w:hAnsiTheme="minorHAnsi" w:cstheme="minorHAnsi"/>
          <w:iCs/>
          <w:sz w:val="22"/>
          <w:szCs w:val="22"/>
          <w:lang w:eastAsia="en-US"/>
        </w:rPr>
      </w:pPr>
      <w:r w:rsidRPr="00314BCC">
        <w:rPr>
          <w:rFonts w:asciiTheme="minorHAnsi" w:eastAsiaTheme="minorHAnsi" w:hAnsiTheme="minorHAnsi" w:cstheme="minorHAnsi"/>
          <w:iCs/>
          <w:sz w:val="22"/>
          <w:szCs w:val="22"/>
          <w:lang w:eastAsia="en-US"/>
        </w:rPr>
        <w:t>You may have read in the media that we are seeking a range of orders against a frozen yogurt outlet</w:t>
      </w:r>
      <w:r w:rsidR="00E45408">
        <w:rPr>
          <w:rFonts w:asciiTheme="minorHAnsi" w:eastAsiaTheme="minorHAnsi" w:hAnsiTheme="minorHAnsi" w:cstheme="minorHAnsi"/>
          <w:iCs/>
          <w:sz w:val="22"/>
          <w:szCs w:val="22"/>
          <w:lang w:eastAsia="en-US"/>
        </w:rPr>
        <w:t>, Yogurberry,</w:t>
      </w:r>
      <w:r w:rsidRPr="00314BCC">
        <w:rPr>
          <w:rFonts w:asciiTheme="minorHAnsi" w:eastAsiaTheme="minorHAnsi" w:hAnsiTheme="minorHAnsi" w:cstheme="minorHAnsi"/>
          <w:iCs/>
          <w:sz w:val="22"/>
          <w:szCs w:val="22"/>
          <w:lang w:eastAsia="en-US"/>
        </w:rPr>
        <w:t xml:space="preserve"> </w:t>
      </w:r>
      <w:r w:rsidRPr="00314BCC">
        <w:rPr>
          <w:rFonts w:asciiTheme="minorHAnsi" w:hAnsiTheme="minorHAnsi" w:cstheme="minorHAnsi"/>
          <w:sz w:val="22"/>
          <w:szCs w:val="22"/>
          <w:lang w:eastAsia="en-US"/>
        </w:rPr>
        <w:t>in the World Square shopping centre in Sydney's CBD.</w:t>
      </w:r>
      <w:r w:rsidRPr="00314BCC">
        <w:rPr>
          <w:rFonts w:asciiTheme="minorHAnsi" w:eastAsiaTheme="minorHAnsi" w:hAnsiTheme="minorHAnsi" w:cstheme="minorHAnsi"/>
          <w:iCs/>
          <w:sz w:val="22"/>
          <w:szCs w:val="22"/>
          <w:lang w:eastAsia="en-US"/>
        </w:rPr>
        <w:t xml:space="preserve"> We are alleging that four Korean backpackers were underpaid a total of </w:t>
      </w:r>
      <w:r w:rsidRPr="00314BCC">
        <w:rPr>
          <w:rFonts w:asciiTheme="minorHAnsi" w:eastAsiaTheme="minorHAnsi" w:hAnsiTheme="minorHAnsi" w:cstheme="minorHAnsi"/>
          <w:b/>
          <w:iCs/>
          <w:sz w:val="22"/>
          <w:szCs w:val="22"/>
          <w:lang w:eastAsia="en-US"/>
        </w:rPr>
        <w:t>$17,827</w:t>
      </w:r>
      <w:r w:rsidRPr="00314BCC">
        <w:rPr>
          <w:rFonts w:asciiTheme="minorHAnsi" w:eastAsiaTheme="minorHAnsi" w:hAnsiTheme="minorHAnsi" w:cstheme="minorHAnsi"/>
          <w:iCs/>
          <w:sz w:val="22"/>
          <w:szCs w:val="22"/>
          <w:lang w:eastAsia="en-US"/>
        </w:rPr>
        <w:t xml:space="preserve">. We are taking the employer to court– but we are also seeking orders against accessories through the franchise network – </w:t>
      </w:r>
      <w:r w:rsidR="00027750" w:rsidRPr="00314BCC">
        <w:rPr>
          <w:rFonts w:asciiTheme="minorHAnsi" w:eastAsiaTheme="minorHAnsi" w:hAnsiTheme="minorHAnsi" w:cstheme="minorHAnsi"/>
          <w:iCs/>
          <w:sz w:val="22"/>
          <w:szCs w:val="22"/>
          <w:lang w:eastAsia="en-US"/>
        </w:rPr>
        <w:t xml:space="preserve">the head company and </w:t>
      </w:r>
      <w:r w:rsidRPr="00314BCC">
        <w:rPr>
          <w:rFonts w:asciiTheme="minorHAnsi" w:hAnsiTheme="minorHAnsi" w:cstheme="minorHAnsi"/>
          <w:sz w:val="22"/>
          <w:szCs w:val="22"/>
          <w:lang w:eastAsia="en-US"/>
        </w:rPr>
        <w:t xml:space="preserve">master franchisor, the payroll company and a manager of the </w:t>
      </w:r>
      <w:r w:rsidR="00027750" w:rsidRPr="00314BCC">
        <w:rPr>
          <w:rFonts w:asciiTheme="minorHAnsi" w:hAnsiTheme="minorHAnsi" w:cstheme="minorHAnsi"/>
          <w:sz w:val="22"/>
          <w:szCs w:val="22"/>
          <w:lang w:eastAsia="en-US"/>
        </w:rPr>
        <w:t>head company</w:t>
      </w:r>
      <w:r w:rsidRPr="00314BCC">
        <w:rPr>
          <w:rFonts w:asciiTheme="minorHAnsi" w:hAnsiTheme="minorHAnsi" w:cstheme="minorHAnsi"/>
          <w:sz w:val="22"/>
          <w:szCs w:val="22"/>
          <w:lang w:eastAsia="en-US"/>
        </w:rPr>
        <w:t xml:space="preserve"> for their alleged involvement in the underpayment of subclass 417 visa holders at the World Square outlet. </w:t>
      </w:r>
    </w:p>
    <w:p w14:paraId="730B29B6" w14:textId="77777777" w:rsidR="004F09A9" w:rsidRPr="00E45408" w:rsidRDefault="004F09A9" w:rsidP="004F09A9">
      <w:pPr>
        <w:spacing w:after="320" w:line="360" w:lineRule="auto"/>
        <w:rPr>
          <w:rFonts w:asciiTheme="minorHAnsi" w:hAnsiTheme="minorHAnsi" w:cstheme="minorHAnsi"/>
          <w:sz w:val="22"/>
          <w:szCs w:val="22"/>
          <w:lang w:eastAsia="en-US"/>
        </w:rPr>
      </w:pPr>
      <w:r w:rsidRPr="00314BCC">
        <w:rPr>
          <w:rFonts w:asciiTheme="minorHAnsi" w:hAnsiTheme="minorHAnsi" w:cstheme="minorHAnsi"/>
          <w:sz w:val="22"/>
          <w:szCs w:val="22"/>
          <w:lang w:eastAsia="en-US"/>
        </w:rPr>
        <w:lastRenderedPageBreak/>
        <w:t xml:space="preserve">This builds on our earlier work using accessorial liability in trolley collecting supply chains, where we have used the provisions to hold the beneficiaries of the labour – big supermarkets – accountable for </w:t>
      </w:r>
      <w:r w:rsidRPr="00E45408">
        <w:rPr>
          <w:rFonts w:asciiTheme="minorHAnsi" w:hAnsiTheme="minorHAnsi" w:cstheme="minorHAnsi"/>
          <w:sz w:val="22"/>
          <w:szCs w:val="22"/>
          <w:lang w:eastAsia="en-US"/>
        </w:rPr>
        <w:t>exploitation of their contractors’ and subcontractors’ workers.</w:t>
      </w:r>
    </w:p>
    <w:p w14:paraId="00B204AF" w14:textId="0FD68858" w:rsidR="00DC7995" w:rsidRPr="00E45408" w:rsidRDefault="00DC7995" w:rsidP="00DC7995">
      <w:pPr>
        <w:spacing w:after="320" w:line="360" w:lineRule="auto"/>
        <w:rPr>
          <w:rFonts w:asciiTheme="minorHAnsi" w:hAnsiTheme="minorHAnsi" w:cstheme="minorHAnsi"/>
          <w:sz w:val="22"/>
          <w:szCs w:val="22"/>
          <w:lang w:eastAsia="en-US"/>
        </w:rPr>
      </w:pPr>
      <w:r w:rsidRPr="00E45408">
        <w:rPr>
          <w:rFonts w:asciiTheme="minorHAnsi" w:hAnsiTheme="minorHAnsi" w:cstheme="minorHAnsi"/>
          <w:sz w:val="22"/>
          <w:szCs w:val="22"/>
          <w:lang w:eastAsia="en-US"/>
        </w:rPr>
        <w:t>For example, in October 2014, Coles stepped up to accept moral and ethical responsibility for workers in its supply chain, by entering into an Enforceable Undertaking (EU) with us and agreeing to backpay its contractor’s employees, conduct broad-ranging compliance audits, re</w:t>
      </w:r>
      <w:r w:rsidR="00E45408" w:rsidRPr="00E45408">
        <w:rPr>
          <w:rFonts w:asciiTheme="minorHAnsi" w:hAnsiTheme="minorHAnsi" w:cstheme="minorHAnsi"/>
          <w:sz w:val="22"/>
          <w:szCs w:val="22"/>
          <w:lang w:eastAsia="en-US"/>
        </w:rPr>
        <w:t>-</w:t>
      </w:r>
      <w:r w:rsidRPr="00E45408">
        <w:rPr>
          <w:rFonts w:asciiTheme="minorHAnsi" w:hAnsiTheme="minorHAnsi" w:cstheme="minorHAnsi"/>
          <w:sz w:val="22"/>
          <w:szCs w:val="22"/>
          <w:lang w:eastAsia="en-US"/>
        </w:rPr>
        <w:t xml:space="preserve">train its relevant people and ultimately bring its trolley collection services in-house. </w:t>
      </w:r>
    </w:p>
    <w:p w14:paraId="486A50A4" w14:textId="2C4B0299" w:rsidR="00DC7995" w:rsidRPr="00E45408" w:rsidRDefault="00DC7995" w:rsidP="00DC7995">
      <w:pPr>
        <w:spacing w:after="320" w:line="360" w:lineRule="auto"/>
        <w:rPr>
          <w:rFonts w:asciiTheme="minorHAnsi" w:hAnsiTheme="minorHAnsi" w:cstheme="minorHAnsi"/>
          <w:sz w:val="22"/>
          <w:szCs w:val="22"/>
          <w:lang w:eastAsia="en-US"/>
        </w:rPr>
      </w:pPr>
      <w:r w:rsidRPr="00E45408">
        <w:rPr>
          <w:rFonts w:asciiTheme="minorHAnsi" w:hAnsiTheme="minorHAnsi" w:cstheme="minorHAnsi"/>
          <w:sz w:val="22"/>
          <w:szCs w:val="22"/>
          <w:lang w:eastAsia="en-US"/>
        </w:rPr>
        <w:t xml:space="preserve">And just last month we released our Inquiry report into Woolworths’ trolley collection supply chain, which exposed a range of entrenched non-compliance. We </w:t>
      </w:r>
      <w:r w:rsidR="00B67440" w:rsidRPr="00E45408">
        <w:rPr>
          <w:rFonts w:asciiTheme="minorHAnsi" w:hAnsiTheme="minorHAnsi" w:cstheme="minorHAnsi"/>
          <w:sz w:val="22"/>
          <w:szCs w:val="22"/>
          <w:lang w:eastAsia="en-US"/>
        </w:rPr>
        <w:t>believe</w:t>
      </w:r>
      <w:r w:rsidRPr="00E45408">
        <w:rPr>
          <w:rFonts w:asciiTheme="minorHAnsi" w:hAnsiTheme="minorHAnsi" w:cstheme="minorHAnsi"/>
          <w:sz w:val="22"/>
          <w:szCs w:val="22"/>
          <w:lang w:eastAsia="en-US"/>
        </w:rPr>
        <w:t xml:space="preserve"> that if Woolworths adopts the recommendations in our report, it will promote and build a culture of compliance in its trolley collector sub-sector. </w:t>
      </w:r>
    </w:p>
    <w:p w14:paraId="74ED9A27" w14:textId="274FE22B" w:rsidR="000A483C" w:rsidRPr="00314BCC" w:rsidRDefault="000A483C" w:rsidP="000A483C">
      <w:pPr>
        <w:spacing w:after="320" w:line="360" w:lineRule="auto"/>
        <w:rPr>
          <w:rFonts w:asciiTheme="minorHAnsi" w:hAnsiTheme="minorHAnsi" w:cstheme="minorHAnsi"/>
          <w:sz w:val="22"/>
          <w:szCs w:val="22"/>
          <w:lang w:eastAsia="en-US"/>
        </w:rPr>
      </w:pPr>
      <w:r w:rsidRPr="00E45408">
        <w:rPr>
          <w:rFonts w:asciiTheme="minorHAnsi" w:hAnsiTheme="minorHAnsi" w:cstheme="minorHAnsi"/>
          <w:sz w:val="22"/>
          <w:szCs w:val="22"/>
          <w:lang w:eastAsia="en-US"/>
        </w:rPr>
        <w:t>Even just this week, (in what was one of our earliest supply chain matters</w:t>
      </w:r>
      <w:r w:rsidRPr="00314BCC">
        <w:rPr>
          <w:rFonts w:asciiTheme="minorHAnsi" w:hAnsiTheme="minorHAnsi" w:cstheme="minorHAnsi"/>
          <w:sz w:val="22"/>
          <w:szCs w:val="22"/>
          <w:lang w:eastAsia="en-US"/>
        </w:rPr>
        <w:t xml:space="preserve">), </w:t>
      </w:r>
      <w:r w:rsidR="00315262" w:rsidRPr="00314BCC">
        <w:rPr>
          <w:rFonts w:asciiTheme="minorHAnsi" w:hAnsiTheme="minorHAnsi" w:cstheme="minorHAnsi"/>
          <w:sz w:val="22"/>
          <w:szCs w:val="22"/>
          <w:lang w:eastAsia="en-US"/>
        </w:rPr>
        <w:t xml:space="preserve">we have </w:t>
      </w:r>
      <w:r w:rsidRPr="00314BCC">
        <w:rPr>
          <w:rFonts w:asciiTheme="minorHAnsi" w:hAnsiTheme="minorHAnsi" w:cstheme="minorHAnsi"/>
          <w:sz w:val="22"/>
          <w:szCs w:val="22"/>
          <w:lang w:eastAsia="en-US"/>
        </w:rPr>
        <w:t>secure</w:t>
      </w:r>
      <w:r w:rsidR="00315262" w:rsidRPr="00314BCC">
        <w:rPr>
          <w:rFonts w:asciiTheme="minorHAnsi" w:hAnsiTheme="minorHAnsi" w:cstheme="minorHAnsi"/>
          <w:sz w:val="22"/>
          <w:szCs w:val="22"/>
          <w:lang w:eastAsia="en-US"/>
        </w:rPr>
        <w:t>d</w:t>
      </w:r>
      <w:r w:rsidRPr="00314BCC">
        <w:rPr>
          <w:rFonts w:asciiTheme="minorHAnsi" w:hAnsiTheme="minorHAnsi" w:cstheme="minorHAnsi"/>
          <w:sz w:val="22"/>
          <w:szCs w:val="22"/>
          <w:lang w:eastAsia="en-US"/>
        </w:rPr>
        <w:t xml:space="preserve"> </w:t>
      </w:r>
      <w:r w:rsidRPr="00314BCC">
        <w:rPr>
          <w:rFonts w:asciiTheme="minorHAnsi" w:hAnsiTheme="minorHAnsi" w:cstheme="minorHAnsi"/>
          <w:b/>
          <w:sz w:val="22"/>
          <w:szCs w:val="22"/>
          <w:lang w:eastAsia="en-US"/>
        </w:rPr>
        <w:t>over $90,000 in penalties</w:t>
      </w:r>
      <w:r w:rsidRPr="00314BCC">
        <w:rPr>
          <w:rFonts w:asciiTheme="minorHAnsi" w:hAnsiTheme="minorHAnsi" w:cstheme="minorHAnsi"/>
          <w:sz w:val="22"/>
          <w:szCs w:val="22"/>
          <w:lang w:eastAsia="en-US"/>
        </w:rPr>
        <w:t xml:space="preserve"> against the beneficiaries of the exploitation of vulnerable trolley collectors</w:t>
      </w:r>
      <w:r w:rsidR="00315262" w:rsidRPr="00314BCC">
        <w:rPr>
          <w:rFonts w:asciiTheme="minorHAnsi" w:hAnsiTheme="minorHAnsi" w:cstheme="minorHAnsi"/>
          <w:sz w:val="22"/>
          <w:szCs w:val="22"/>
          <w:lang w:eastAsia="en-US"/>
        </w:rPr>
        <w:t>, in a case where the employing entity, South Jin, had been wound up</w:t>
      </w:r>
      <w:r w:rsidRPr="00314BCC">
        <w:rPr>
          <w:rFonts w:asciiTheme="minorHAnsi" w:hAnsiTheme="minorHAnsi" w:cstheme="minorHAnsi"/>
          <w:sz w:val="22"/>
          <w:szCs w:val="22"/>
          <w:lang w:eastAsia="en-US"/>
        </w:rPr>
        <w:t>.</w:t>
      </w:r>
      <w:r w:rsidRPr="00314BCC">
        <w:rPr>
          <w:rStyle w:val="FootnoteReference"/>
          <w:rFonts w:asciiTheme="minorHAnsi" w:hAnsiTheme="minorHAnsi" w:cstheme="minorHAnsi"/>
          <w:sz w:val="22"/>
          <w:szCs w:val="22"/>
          <w:lang w:eastAsia="en-US"/>
        </w:rPr>
        <w:footnoteReference w:id="7"/>
      </w:r>
    </w:p>
    <w:p w14:paraId="0E4C1A2A" w14:textId="7659D067" w:rsidR="004F09A9" w:rsidRPr="00314BCC" w:rsidRDefault="004F09A9" w:rsidP="004F09A9">
      <w:pPr>
        <w:spacing w:after="320" w:line="360" w:lineRule="auto"/>
        <w:rPr>
          <w:rFonts w:asciiTheme="minorHAnsi" w:hAnsiTheme="minorHAnsi" w:cstheme="minorHAnsi"/>
          <w:sz w:val="22"/>
          <w:szCs w:val="22"/>
          <w:lang w:eastAsia="en-US"/>
        </w:rPr>
      </w:pPr>
      <w:r w:rsidRPr="00314BCC">
        <w:rPr>
          <w:rFonts w:asciiTheme="minorHAnsi" w:hAnsiTheme="minorHAnsi" w:cstheme="minorHAnsi"/>
          <w:sz w:val="22"/>
          <w:szCs w:val="22"/>
          <w:lang w:eastAsia="en-US"/>
        </w:rPr>
        <w:t xml:space="preserve">In Yogurberry, we are seeking to leverage the accessorial liability provisions, by asking the court to place some strong obligations on the head company– requiring a professional external audit of all of the stores throughout the entire retail chain. We are also seeking an order requiring head office to commission workplace relations training for their managers. </w:t>
      </w:r>
    </w:p>
    <w:p w14:paraId="18947814" w14:textId="390F0E72" w:rsidR="004F09A9" w:rsidRPr="00314BCC" w:rsidRDefault="004F09A9" w:rsidP="004F09A9">
      <w:pPr>
        <w:spacing w:after="320" w:line="360" w:lineRule="auto"/>
        <w:rPr>
          <w:rFonts w:asciiTheme="minorHAnsi" w:hAnsiTheme="minorHAnsi" w:cstheme="minorHAnsi"/>
          <w:sz w:val="22"/>
          <w:szCs w:val="22"/>
          <w:lang w:eastAsia="en-US"/>
        </w:rPr>
      </w:pPr>
      <w:r w:rsidRPr="00314BCC">
        <w:rPr>
          <w:rFonts w:asciiTheme="minorHAnsi" w:hAnsiTheme="minorHAnsi" w:cstheme="minorHAnsi"/>
          <w:sz w:val="22"/>
          <w:szCs w:val="22"/>
          <w:lang w:eastAsia="en-US"/>
        </w:rPr>
        <w:t xml:space="preserve">We have sought </w:t>
      </w:r>
      <w:r w:rsidR="00233715" w:rsidRPr="00314BCC">
        <w:rPr>
          <w:rFonts w:asciiTheme="minorHAnsi" w:hAnsiTheme="minorHAnsi" w:cstheme="minorHAnsi"/>
          <w:sz w:val="22"/>
          <w:szCs w:val="22"/>
          <w:lang w:eastAsia="en-US"/>
        </w:rPr>
        <w:t xml:space="preserve">these </w:t>
      </w:r>
      <w:r w:rsidRPr="00314BCC">
        <w:rPr>
          <w:rFonts w:asciiTheme="minorHAnsi" w:hAnsiTheme="minorHAnsi" w:cstheme="minorHAnsi"/>
          <w:sz w:val="22"/>
          <w:szCs w:val="22"/>
          <w:lang w:eastAsia="en-US"/>
        </w:rPr>
        <w:t>orders because we believe the underpayment problems are more widespread than just the World Square outlet</w:t>
      </w:r>
      <w:r w:rsidR="00233715" w:rsidRPr="00314BCC">
        <w:rPr>
          <w:rFonts w:asciiTheme="minorHAnsi" w:hAnsiTheme="minorHAnsi" w:cstheme="minorHAnsi"/>
          <w:sz w:val="22"/>
          <w:szCs w:val="22"/>
          <w:lang w:eastAsia="en-US"/>
        </w:rPr>
        <w:t>. Action</w:t>
      </w:r>
      <w:r w:rsidR="00A45583" w:rsidRPr="00314BCC">
        <w:rPr>
          <w:rFonts w:asciiTheme="minorHAnsi" w:hAnsiTheme="minorHAnsi" w:cstheme="minorHAnsi"/>
          <w:sz w:val="22"/>
          <w:szCs w:val="22"/>
          <w:lang w:eastAsia="en-US"/>
        </w:rPr>
        <w:t xml:space="preserve"> </w:t>
      </w:r>
      <w:r w:rsidR="00233715" w:rsidRPr="00314BCC">
        <w:rPr>
          <w:rFonts w:asciiTheme="minorHAnsi" w:hAnsiTheme="minorHAnsi" w:cstheme="minorHAnsi"/>
          <w:sz w:val="22"/>
          <w:szCs w:val="22"/>
          <w:lang w:eastAsia="en-US"/>
        </w:rPr>
        <w:t xml:space="preserve">confined to that outlet, on </w:t>
      </w:r>
      <w:r w:rsidR="00DE56C7" w:rsidRPr="00314BCC">
        <w:rPr>
          <w:rFonts w:asciiTheme="minorHAnsi" w:hAnsiTheme="minorHAnsi" w:cstheme="minorHAnsi"/>
          <w:sz w:val="22"/>
          <w:szCs w:val="22"/>
          <w:lang w:eastAsia="en-US"/>
        </w:rPr>
        <w:t>its</w:t>
      </w:r>
      <w:r w:rsidR="00233715" w:rsidRPr="00314BCC">
        <w:rPr>
          <w:rFonts w:asciiTheme="minorHAnsi" w:hAnsiTheme="minorHAnsi" w:cstheme="minorHAnsi"/>
          <w:sz w:val="22"/>
          <w:szCs w:val="22"/>
          <w:lang w:eastAsia="en-US"/>
        </w:rPr>
        <w:t xml:space="preserve"> own, is unlikely to</w:t>
      </w:r>
      <w:r w:rsidRPr="00314BCC">
        <w:rPr>
          <w:rFonts w:asciiTheme="minorHAnsi" w:hAnsiTheme="minorHAnsi" w:cstheme="minorHAnsi"/>
          <w:sz w:val="22"/>
          <w:szCs w:val="22"/>
          <w:lang w:eastAsia="en-US"/>
        </w:rPr>
        <w:t xml:space="preserve"> </w:t>
      </w:r>
      <w:r w:rsidRPr="00314BCC">
        <w:rPr>
          <w:rFonts w:asciiTheme="minorHAnsi" w:eastAsiaTheme="minorHAnsi" w:hAnsiTheme="minorHAnsi" w:cstheme="minorHAnsi"/>
          <w:iCs/>
          <w:sz w:val="22"/>
          <w:szCs w:val="22"/>
          <w:lang w:eastAsia="en-US"/>
        </w:rPr>
        <w:t xml:space="preserve">build a culture of compliance in the entire franchise chain.  </w:t>
      </w:r>
    </w:p>
    <w:p w14:paraId="12CF614C" w14:textId="77808204" w:rsidR="004F09A9" w:rsidRPr="00314BCC" w:rsidRDefault="00233715" w:rsidP="004F09A9">
      <w:pPr>
        <w:spacing w:after="320" w:line="360" w:lineRule="auto"/>
        <w:rPr>
          <w:rFonts w:asciiTheme="minorHAnsi" w:hAnsiTheme="minorHAnsi" w:cstheme="minorHAnsi"/>
          <w:sz w:val="22"/>
          <w:szCs w:val="22"/>
          <w:lang w:eastAsia="en-US"/>
        </w:rPr>
      </w:pPr>
      <w:r w:rsidRPr="00314BCC">
        <w:rPr>
          <w:rFonts w:asciiTheme="minorHAnsi" w:hAnsiTheme="minorHAnsi" w:cstheme="minorHAnsi"/>
          <w:sz w:val="22"/>
          <w:szCs w:val="22"/>
          <w:lang w:eastAsia="en-US"/>
        </w:rPr>
        <w:t>Seeking</w:t>
      </w:r>
      <w:r w:rsidR="000A483C" w:rsidRPr="00314BCC">
        <w:rPr>
          <w:rFonts w:asciiTheme="minorHAnsi" w:hAnsiTheme="minorHAnsi" w:cstheme="minorHAnsi"/>
          <w:sz w:val="22"/>
          <w:szCs w:val="22"/>
          <w:lang w:eastAsia="en-US"/>
        </w:rPr>
        <w:t xml:space="preserve"> a broader range of</w:t>
      </w:r>
      <w:r w:rsidR="004F09A9" w:rsidRPr="00314BCC">
        <w:rPr>
          <w:rFonts w:asciiTheme="minorHAnsi" w:hAnsiTheme="minorHAnsi" w:cstheme="minorHAnsi"/>
          <w:sz w:val="22"/>
          <w:szCs w:val="22"/>
          <w:lang w:eastAsia="en-US"/>
        </w:rPr>
        <w:t xml:space="preserve"> court orders against accessories as well as corporate employers allows us to tailor our response to the circumstances of each employer and accessory that we take to court. </w:t>
      </w:r>
    </w:p>
    <w:p w14:paraId="5A5070D8" w14:textId="117497EE" w:rsidR="009A50F1" w:rsidRPr="00314BCC" w:rsidRDefault="004F09A9" w:rsidP="004F09A9">
      <w:pPr>
        <w:spacing w:after="320" w:line="360" w:lineRule="auto"/>
        <w:rPr>
          <w:rFonts w:asciiTheme="minorHAnsi" w:hAnsiTheme="minorHAnsi" w:cstheme="minorHAnsi"/>
          <w:sz w:val="22"/>
          <w:szCs w:val="22"/>
          <w:lang w:eastAsia="en-US"/>
        </w:rPr>
      </w:pPr>
      <w:r w:rsidRPr="00314BCC">
        <w:rPr>
          <w:rFonts w:asciiTheme="minorHAnsi" w:hAnsiTheme="minorHAnsi" w:cstheme="minorHAnsi"/>
          <w:sz w:val="22"/>
          <w:szCs w:val="22"/>
          <w:lang w:eastAsia="en-US"/>
        </w:rPr>
        <w:t>We are seeking to change behaviour, build sustainable compliance within workplaces</w:t>
      </w:r>
      <w:r w:rsidR="000A483C" w:rsidRPr="00314BCC">
        <w:rPr>
          <w:rFonts w:asciiTheme="minorHAnsi" w:hAnsiTheme="minorHAnsi" w:cstheme="minorHAnsi"/>
          <w:sz w:val="22"/>
          <w:szCs w:val="22"/>
          <w:lang w:eastAsia="en-US"/>
        </w:rPr>
        <w:t xml:space="preserve">. </w:t>
      </w:r>
      <w:r w:rsidRPr="00314BCC">
        <w:rPr>
          <w:rFonts w:asciiTheme="minorHAnsi" w:hAnsiTheme="minorHAnsi" w:cstheme="minorHAnsi"/>
          <w:sz w:val="22"/>
          <w:szCs w:val="22"/>
          <w:lang w:eastAsia="en-US"/>
        </w:rPr>
        <w:t xml:space="preserve"> </w:t>
      </w:r>
      <w:r w:rsidR="000A483C" w:rsidRPr="00314BCC">
        <w:rPr>
          <w:rFonts w:asciiTheme="minorHAnsi" w:hAnsiTheme="minorHAnsi" w:cstheme="minorHAnsi"/>
          <w:sz w:val="22"/>
          <w:szCs w:val="22"/>
          <w:lang w:eastAsia="en-US"/>
        </w:rPr>
        <w:t>A</w:t>
      </w:r>
      <w:r w:rsidRPr="00314BCC">
        <w:rPr>
          <w:rFonts w:asciiTheme="minorHAnsi" w:hAnsiTheme="minorHAnsi" w:cstheme="minorHAnsi"/>
          <w:sz w:val="22"/>
          <w:szCs w:val="22"/>
          <w:lang w:eastAsia="en-US"/>
        </w:rPr>
        <w:t xml:space="preserve">chieving this </w:t>
      </w:r>
      <w:r w:rsidR="00233715" w:rsidRPr="00314BCC">
        <w:rPr>
          <w:rFonts w:asciiTheme="minorHAnsi" w:hAnsiTheme="minorHAnsi" w:cstheme="minorHAnsi"/>
          <w:sz w:val="22"/>
          <w:szCs w:val="22"/>
          <w:lang w:eastAsia="en-US"/>
        </w:rPr>
        <w:t xml:space="preserve">in some cases </w:t>
      </w:r>
      <w:r w:rsidRPr="00314BCC">
        <w:rPr>
          <w:rFonts w:asciiTheme="minorHAnsi" w:hAnsiTheme="minorHAnsi" w:cstheme="minorHAnsi"/>
          <w:sz w:val="22"/>
          <w:szCs w:val="22"/>
          <w:lang w:eastAsia="en-US"/>
        </w:rPr>
        <w:t>may require more than a penalty and a press release.</w:t>
      </w:r>
    </w:p>
    <w:p w14:paraId="3EA45906" w14:textId="77777777" w:rsidR="00DE56C7" w:rsidRDefault="00DE56C7" w:rsidP="00314BCC">
      <w:pPr>
        <w:spacing w:after="320" w:line="360" w:lineRule="auto"/>
        <w:jc w:val="center"/>
        <w:rPr>
          <w:rFonts w:asciiTheme="minorHAnsi" w:eastAsiaTheme="minorHAnsi" w:hAnsiTheme="minorHAnsi" w:cstheme="minorHAnsi"/>
          <w:b/>
          <w:iCs/>
          <w:sz w:val="22"/>
          <w:szCs w:val="22"/>
          <w:lang w:eastAsia="en-US"/>
        </w:rPr>
      </w:pPr>
    </w:p>
    <w:p w14:paraId="09F26E59" w14:textId="54045DF6" w:rsidR="004F09A9" w:rsidRPr="00314BCC" w:rsidRDefault="000D78DE" w:rsidP="00314BCC">
      <w:pPr>
        <w:spacing w:after="320" w:line="360" w:lineRule="auto"/>
        <w:jc w:val="center"/>
        <w:rPr>
          <w:rFonts w:asciiTheme="minorHAnsi" w:eastAsiaTheme="minorHAnsi" w:hAnsiTheme="minorHAnsi" w:cstheme="minorHAnsi"/>
          <w:b/>
          <w:iCs/>
          <w:sz w:val="22"/>
          <w:szCs w:val="22"/>
          <w:lang w:eastAsia="en-US"/>
        </w:rPr>
      </w:pPr>
      <w:r>
        <w:rPr>
          <w:rFonts w:asciiTheme="minorHAnsi" w:eastAsiaTheme="minorHAnsi" w:hAnsiTheme="minorHAnsi" w:cstheme="minorHAnsi"/>
          <w:b/>
          <w:iCs/>
          <w:sz w:val="22"/>
          <w:szCs w:val="22"/>
          <w:lang w:eastAsia="en-US"/>
        </w:rPr>
        <w:lastRenderedPageBreak/>
        <w:t xml:space="preserve">If </w:t>
      </w:r>
      <w:r w:rsidR="00AA7F2E" w:rsidRPr="00314BCC">
        <w:rPr>
          <w:rFonts w:asciiTheme="minorHAnsi" w:eastAsiaTheme="minorHAnsi" w:hAnsiTheme="minorHAnsi" w:cstheme="minorHAnsi"/>
          <w:b/>
          <w:iCs/>
          <w:sz w:val="22"/>
          <w:szCs w:val="22"/>
          <w:lang w:eastAsia="en-US"/>
        </w:rPr>
        <w:t xml:space="preserve">the Long Arm </w:t>
      </w:r>
      <w:r>
        <w:rPr>
          <w:rFonts w:asciiTheme="minorHAnsi" w:eastAsiaTheme="minorHAnsi" w:hAnsiTheme="minorHAnsi" w:cstheme="minorHAnsi"/>
          <w:b/>
          <w:iCs/>
          <w:sz w:val="22"/>
          <w:szCs w:val="22"/>
          <w:lang w:eastAsia="en-US"/>
        </w:rPr>
        <w:t>doesn’t</w:t>
      </w:r>
      <w:r w:rsidR="00AA7F2E" w:rsidRPr="00314BCC">
        <w:rPr>
          <w:rFonts w:asciiTheme="minorHAnsi" w:eastAsiaTheme="minorHAnsi" w:hAnsiTheme="minorHAnsi" w:cstheme="minorHAnsi"/>
          <w:b/>
          <w:iCs/>
          <w:sz w:val="22"/>
          <w:szCs w:val="22"/>
          <w:lang w:eastAsia="en-US"/>
        </w:rPr>
        <w:t xml:space="preserve"> reach</w:t>
      </w:r>
      <w:r>
        <w:rPr>
          <w:rFonts w:asciiTheme="minorHAnsi" w:eastAsiaTheme="minorHAnsi" w:hAnsiTheme="minorHAnsi" w:cstheme="minorHAnsi"/>
          <w:b/>
          <w:iCs/>
          <w:sz w:val="22"/>
          <w:szCs w:val="22"/>
          <w:lang w:eastAsia="en-US"/>
        </w:rPr>
        <w:t xml:space="preserve"> you…the media might</w:t>
      </w:r>
    </w:p>
    <w:p w14:paraId="347FFFE2" w14:textId="77777777" w:rsidR="004F09A9" w:rsidRPr="00314BCC" w:rsidRDefault="004F09A9" w:rsidP="004F09A9">
      <w:pPr>
        <w:spacing w:after="320" w:line="360" w:lineRule="auto"/>
        <w:rPr>
          <w:rFonts w:asciiTheme="minorHAnsi" w:hAnsiTheme="minorHAnsi" w:cstheme="minorHAnsi"/>
          <w:sz w:val="22"/>
          <w:szCs w:val="22"/>
          <w:lang w:eastAsia="en-US"/>
        </w:rPr>
      </w:pPr>
      <w:r w:rsidRPr="00314BCC">
        <w:rPr>
          <w:rFonts w:asciiTheme="minorHAnsi" w:hAnsiTheme="minorHAnsi" w:cstheme="minorHAnsi"/>
          <w:sz w:val="22"/>
          <w:szCs w:val="22"/>
          <w:lang w:eastAsia="en-US"/>
        </w:rPr>
        <w:t>And you may have noticed that in some of our press releases, we name parties other than the direct employer of workers.</w:t>
      </w:r>
    </w:p>
    <w:p w14:paraId="2D8859BE" w14:textId="5B05FAD0" w:rsidR="004F09A9" w:rsidRPr="00314BCC" w:rsidRDefault="004F09A9" w:rsidP="004F09A9">
      <w:pPr>
        <w:spacing w:after="320" w:line="360" w:lineRule="auto"/>
        <w:rPr>
          <w:rFonts w:asciiTheme="minorHAnsi" w:hAnsiTheme="minorHAnsi" w:cstheme="minorHAnsi"/>
          <w:sz w:val="22"/>
          <w:szCs w:val="22"/>
          <w:lang w:eastAsia="en-US"/>
        </w:rPr>
      </w:pPr>
      <w:r w:rsidRPr="00314BCC">
        <w:rPr>
          <w:rFonts w:asciiTheme="minorHAnsi" w:hAnsiTheme="minorHAnsi" w:cstheme="minorHAnsi"/>
          <w:sz w:val="22"/>
          <w:szCs w:val="22"/>
          <w:lang w:eastAsia="en-US"/>
        </w:rPr>
        <w:t xml:space="preserve">When we find exploitation of vulnerable workers, it is our standard practice to look up </w:t>
      </w:r>
      <w:r w:rsidR="00233715" w:rsidRPr="00314BCC">
        <w:rPr>
          <w:rFonts w:asciiTheme="minorHAnsi" w:hAnsiTheme="minorHAnsi" w:cstheme="minorHAnsi"/>
          <w:sz w:val="22"/>
          <w:szCs w:val="22"/>
          <w:lang w:eastAsia="en-US"/>
        </w:rPr>
        <w:t xml:space="preserve">the supply chain </w:t>
      </w:r>
      <w:r w:rsidRPr="00314BCC">
        <w:rPr>
          <w:rFonts w:asciiTheme="minorHAnsi" w:hAnsiTheme="minorHAnsi" w:cstheme="minorHAnsi"/>
          <w:sz w:val="22"/>
          <w:szCs w:val="22"/>
          <w:lang w:eastAsia="en-US"/>
        </w:rPr>
        <w:t xml:space="preserve">to the entity benefiting from that labour, and </w:t>
      </w:r>
      <w:r w:rsidR="000A483C" w:rsidRPr="00314BCC">
        <w:rPr>
          <w:rFonts w:asciiTheme="minorHAnsi" w:hAnsiTheme="minorHAnsi" w:cstheme="minorHAnsi"/>
          <w:sz w:val="22"/>
          <w:szCs w:val="22"/>
          <w:lang w:eastAsia="en-US"/>
        </w:rPr>
        <w:t xml:space="preserve">ask the queston:  </w:t>
      </w:r>
      <w:r w:rsidR="00233715" w:rsidRPr="00314BCC">
        <w:rPr>
          <w:rFonts w:asciiTheme="minorHAnsi" w:hAnsiTheme="minorHAnsi" w:cstheme="minorHAnsi"/>
          <w:sz w:val="22"/>
          <w:szCs w:val="22"/>
          <w:lang w:eastAsia="en-US"/>
        </w:rPr>
        <w:t>W</w:t>
      </w:r>
      <w:r w:rsidRPr="00314BCC">
        <w:rPr>
          <w:rFonts w:asciiTheme="minorHAnsi" w:hAnsiTheme="minorHAnsi" w:cstheme="minorHAnsi"/>
          <w:sz w:val="22"/>
          <w:szCs w:val="22"/>
          <w:lang w:eastAsia="en-US"/>
        </w:rPr>
        <w:t>hat contribution</w:t>
      </w:r>
      <w:r w:rsidR="000A483C" w:rsidRPr="00314BCC">
        <w:rPr>
          <w:rFonts w:asciiTheme="minorHAnsi" w:hAnsiTheme="minorHAnsi" w:cstheme="minorHAnsi"/>
          <w:sz w:val="22"/>
          <w:szCs w:val="22"/>
          <w:lang w:eastAsia="en-US"/>
        </w:rPr>
        <w:t xml:space="preserve"> has</w:t>
      </w:r>
      <w:r w:rsidRPr="00314BCC">
        <w:rPr>
          <w:rFonts w:asciiTheme="minorHAnsi" w:hAnsiTheme="minorHAnsi" w:cstheme="minorHAnsi"/>
          <w:sz w:val="22"/>
          <w:szCs w:val="22"/>
          <w:lang w:eastAsia="en-US"/>
        </w:rPr>
        <w:t xml:space="preserve"> </w:t>
      </w:r>
      <w:r w:rsidR="00233715" w:rsidRPr="00314BCC">
        <w:rPr>
          <w:rFonts w:asciiTheme="minorHAnsi" w:hAnsiTheme="minorHAnsi" w:cstheme="minorHAnsi"/>
          <w:sz w:val="22"/>
          <w:szCs w:val="22"/>
          <w:lang w:eastAsia="en-US"/>
        </w:rPr>
        <w:t xml:space="preserve">that established, profitable company made to </w:t>
      </w:r>
      <w:r w:rsidRPr="00314BCC">
        <w:rPr>
          <w:rFonts w:asciiTheme="minorHAnsi" w:hAnsiTheme="minorHAnsi" w:cstheme="minorHAnsi"/>
          <w:sz w:val="22"/>
          <w:szCs w:val="22"/>
          <w:lang w:eastAsia="en-US"/>
        </w:rPr>
        <w:t>what has occurred</w:t>
      </w:r>
      <w:r w:rsidR="000A483C" w:rsidRPr="00314BCC">
        <w:rPr>
          <w:rFonts w:asciiTheme="minorHAnsi" w:hAnsiTheme="minorHAnsi" w:cstheme="minorHAnsi"/>
          <w:sz w:val="22"/>
          <w:szCs w:val="22"/>
          <w:lang w:eastAsia="en-US"/>
        </w:rPr>
        <w:t>?</w:t>
      </w:r>
    </w:p>
    <w:p w14:paraId="62E7A34A" w14:textId="143AC88B" w:rsidR="004F09A9" w:rsidRPr="00314BCC" w:rsidRDefault="004F09A9" w:rsidP="004F09A9">
      <w:pPr>
        <w:spacing w:after="320" w:line="360" w:lineRule="auto"/>
        <w:rPr>
          <w:rFonts w:asciiTheme="minorHAnsi" w:hAnsiTheme="minorHAnsi" w:cstheme="minorHAnsi"/>
          <w:sz w:val="22"/>
          <w:szCs w:val="22"/>
          <w:lang w:eastAsia="en-US"/>
        </w:rPr>
      </w:pPr>
      <w:r w:rsidRPr="00314BCC">
        <w:rPr>
          <w:rFonts w:asciiTheme="minorHAnsi" w:hAnsiTheme="minorHAnsi" w:cstheme="minorHAnsi"/>
          <w:sz w:val="22"/>
          <w:szCs w:val="22"/>
          <w:lang w:eastAsia="en-US"/>
        </w:rPr>
        <w:t>Because the company at the top of the supply chain, or the centre of a franchising network, is often controlling the settings, including how much money is going into the supply chain</w:t>
      </w:r>
      <w:r w:rsidR="00233715" w:rsidRPr="00314BCC">
        <w:rPr>
          <w:rFonts w:asciiTheme="minorHAnsi" w:hAnsiTheme="minorHAnsi" w:cstheme="minorHAnsi"/>
          <w:sz w:val="22"/>
          <w:szCs w:val="22"/>
          <w:lang w:eastAsia="en-US"/>
        </w:rPr>
        <w:t xml:space="preserve"> or network</w:t>
      </w:r>
      <w:r w:rsidRPr="00314BCC">
        <w:rPr>
          <w:rFonts w:asciiTheme="minorHAnsi" w:hAnsiTheme="minorHAnsi" w:cstheme="minorHAnsi"/>
          <w:sz w:val="22"/>
          <w:szCs w:val="22"/>
          <w:lang w:eastAsia="en-US"/>
        </w:rPr>
        <w:t xml:space="preserve">. </w:t>
      </w:r>
    </w:p>
    <w:p w14:paraId="6B7042D8" w14:textId="30BF01EF" w:rsidR="004F09A9" w:rsidRPr="00314BCC" w:rsidRDefault="004F09A9" w:rsidP="004F09A9">
      <w:pPr>
        <w:spacing w:after="320" w:line="360" w:lineRule="auto"/>
        <w:rPr>
          <w:rFonts w:asciiTheme="minorHAnsi" w:hAnsiTheme="minorHAnsi" w:cstheme="minorHAnsi"/>
          <w:sz w:val="22"/>
          <w:szCs w:val="22"/>
          <w:lang w:eastAsia="en-US"/>
        </w:rPr>
      </w:pPr>
      <w:r w:rsidRPr="00314BCC">
        <w:rPr>
          <w:rFonts w:asciiTheme="minorHAnsi" w:hAnsiTheme="minorHAnsi" w:cstheme="minorHAnsi"/>
          <w:sz w:val="22"/>
          <w:szCs w:val="22"/>
          <w:lang w:eastAsia="en-US"/>
        </w:rPr>
        <w:t xml:space="preserve">In some parts of our labour market, </w:t>
      </w:r>
      <w:r w:rsidR="000A483C" w:rsidRPr="00314BCC">
        <w:rPr>
          <w:rFonts w:asciiTheme="minorHAnsi" w:hAnsiTheme="minorHAnsi" w:cstheme="minorHAnsi"/>
          <w:sz w:val="22"/>
          <w:szCs w:val="22"/>
          <w:lang w:eastAsia="en-US"/>
        </w:rPr>
        <w:t xml:space="preserve">I’m afraid to say, </w:t>
      </w:r>
      <w:r w:rsidRPr="00314BCC">
        <w:rPr>
          <w:rFonts w:asciiTheme="minorHAnsi" w:hAnsiTheme="minorHAnsi" w:cstheme="minorHAnsi"/>
          <w:sz w:val="22"/>
          <w:szCs w:val="22"/>
          <w:lang w:eastAsia="en-US"/>
        </w:rPr>
        <w:t xml:space="preserve">non-compliance with workplace laws has become </w:t>
      </w:r>
      <w:r w:rsidR="000A483C" w:rsidRPr="00314BCC">
        <w:rPr>
          <w:rFonts w:asciiTheme="minorHAnsi" w:hAnsiTheme="minorHAnsi" w:cstheme="minorHAnsi"/>
          <w:sz w:val="22"/>
          <w:szCs w:val="22"/>
          <w:lang w:eastAsia="en-US"/>
        </w:rPr>
        <w:t>a cultural norm</w:t>
      </w:r>
      <w:r w:rsidRPr="00314BCC">
        <w:rPr>
          <w:rFonts w:asciiTheme="minorHAnsi" w:hAnsiTheme="minorHAnsi" w:cstheme="minorHAnsi"/>
          <w:sz w:val="22"/>
          <w:szCs w:val="22"/>
          <w:lang w:eastAsia="en-US"/>
        </w:rPr>
        <w:t>. The common characteristics are: low</w:t>
      </w:r>
      <w:r w:rsidR="00DF54E0" w:rsidRPr="00314BCC">
        <w:rPr>
          <w:rFonts w:asciiTheme="minorHAnsi" w:hAnsiTheme="minorHAnsi" w:cstheme="minorHAnsi"/>
          <w:sz w:val="22"/>
          <w:szCs w:val="22"/>
          <w:lang w:eastAsia="en-US"/>
        </w:rPr>
        <w:t>-</w:t>
      </w:r>
      <w:r w:rsidRPr="00314BCC">
        <w:rPr>
          <w:rFonts w:asciiTheme="minorHAnsi" w:hAnsiTheme="minorHAnsi" w:cstheme="minorHAnsi"/>
          <w:sz w:val="22"/>
          <w:szCs w:val="22"/>
          <w:lang w:eastAsia="en-US"/>
        </w:rPr>
        <w:t>skill</w:t>
      </w:r>
      <w:r w:rsidR="00DF54E0" w:rsidRPr="00314BCC">
        <w:rPr>
          <w:rFonts w:asciiTheme="minorHAnsi" w:hAnsiTheme="minorHAnsi" w:cstheme="minorHAnsi"/>
          <w:sz w:val="22"/>
          <w:szCs w:val="22"/>
          <w:lang w:eastAsia="en-US"/>
        </w:rPr>
        <w:t>ed</w:t>
      </w:r>
      <w:r w:rsidRPr="00314BCC">
        <w:rPr>
          <w:rFonts w:asciiTheme="minorHAnsi" w:hAnsiTheme="minorHAnsi" w:cstheme="minorHAnsi"/>
          <w:sz w:val="22"/>
          <w:szCs w:val="22"/>
          <w:lang w:eastAsia="en-US"/>
        </w:rPr>
        <w:t xml:space="preserve"> work, price</w:t>
      </w:r>
      <w:r w:rsidR="00DF54E0" w:rsidRPr="00314BCC">
        <w:rPr>
          <w:rFonts w:asciiTheme="minorHAnsi" w:hAnsiTheme="minorHAnsi" w:cstheme="minorHAnsi"/>
          <w:sz w:val="22"/>
          <w:szCs w:val="22"/>
          <w:lang w:eastAsia="en-US"/>
        </w:rPr>
        <w:t>-</w:t>
      </w:r>
      <w:r w:rsidRPr="00314BCC">
        <w:rPr>
          <w:rFonts w:asciiTheme="minorHAnsi" w:hAnsiTheme="minorHAnsi" w:cstheme="minorHAnsi"/>
          <w:sz w:val="22"/>
          <w:szCs w:val="22"/>
          <w:lang w:eastAsia="en-US"/>
        </w:rPr>
        <w:t xml:space="preserve">driven procurement, a proliferation of entities in the supply chain or network, tight profit margins and vulnerable, often migrant workers. </w:t>
      </w:r>
    </w:p>
    <w:p w14:paraId="4CC14710" w14:textId="036D6540" w:rsidR="004F09A9" w:rsidRPr="00314BCC" w:rsidRDefault="00DE56C7" w:rsidP="004F09A9">
      <w:pPr>
        <w:spacing w:after="320" w:line="360" w:lineRule="auto"/>
        <w:rPr>
          <w:rFonts w:asciiTheme="minorHAnsi" w:hAnsiTheme="minorHAnsi" w:cstheme="minorHAnsi"/>
          <w:sz w:val="22"/>
          <w:szCs w:val="22"/>
          <w:lang w:eastAsia="en-US"/>
        </w:rPr>
      </w:pPr>
      <w:r>
        <w:rPr>
          <w:rFonts w:asciiTheme="minorHAnsi" w:hAnsiTheme="minorHAnsi" w:cstheme="minorHAnsi"/>
          <w:sz w:val="22"/>
          <w:szCs w:val="22"/>
          <w:lang w:eastAsia="en-US"/>
        </w:rPr>
        <w:t>Think</w:t>
      </w:r>
      <w:r w:rsidR="004F09A9" w:rsidRPr="00314BCC">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4F09A9" w:rsidRPr="00314BCC">
        <w:rPr>
          <w:rFonts w:asciiTheme="minorHAnsi" w:hAnsiTheme="minorHAnsi" w:cstheme="minorHAnsi"/>
          <w:sz w:val="22"/>
          <w:szCs w:val="22"/>
          <w:lang w:eastAsia="en-US"/>
        </w:rPr>
        <w:t>trolley collecting. Or cleaning or security.</w:t>
      </w:r>
    </w:p>
    <w:p w14:paraId="2DD00E8D" w14:textId="02FA9A34" w:rsidR="004F09A9" w:rsidRPr="00314BCC" w:rsidRDefault="004F09A9" w:rsidP="004F09A9">
      <w:pPr>
        <w:spacing w:after="320" w:line="360" w:lineRule="auto"/>
        <w:rPr>
          <w:rFonts w:asciiTheme="minorHAnsi" w:hAnsiTheme="minorHAnsi" w:cstheme="minorHAnsi"/>
          <w:sz w:val="22"/>
          <w:szCs w:val="22"/>
          <w:lang w:eastAsia="en-US"/>
        </w:rPr>
      </w:pPr>
      <w:r w:rsidRPr="00314BCC">
        <w:rPr>
          <w:rFonts w:asciiTheme="minorHAnsi" w:hAnsiTheme="minorHAnsi" w:cstheme="minorHAnsi"/>
          <w:sz w:val="22"/>
          <w:szCs w:val="22"/>
          <w:lang w:eastAsia="en-US"/>
        </w:rPr>
        <w:t>And you may think legally, those workers are not your responsibility. And you may be right…or not. We have taken action against non</w:t>
      </w:r>
      <w:r w:rsidR="00DF54E0" w:rsidRPr="00314BCC">
        <w:rPr>
          <w:rFonts w:asciiTheme="minorHAnsi" w:hAnsiTheme="minorHAnsi" w:cstheme="minorHAnsi"/>
          <w:sz w:val="22"/>
          <w:szCs w:val="22"/>
          <w:lang w:eastAsia="en-US"/>
        </w:rPr>
        <w:t>-</w:t>
      </w:r>
      <w:r w:rsidRPr="00314BCC">
        <w:rPr>
          <w:rFonts w:asciiTheme="minorHAnsi" w:hAnsiTheme="minorHAnsi" w:cstheme="minorHAnsi"/>
          <w:sz w:val="22"/>
          <w:szCs w:val="22"/>
          <w:lang w:eastAsia="en-US"/>
        </w:rPr>
        <w:t>employing but benefiting entities in supply chains.</w:t>
      </w:r>
      <w:r w:rsidR="002267A5" w:rsidRPr="00314BCC">
        <w:rPr>
          <w:rStyle w:val="FootnoteReference"/>
          <w:rFonts w:asciiTheme="minorHAnsi" w:hAnsiTheme="minorHAnsi" w:cstheme="minorHAnsi"/>
          <w:sz w:val="22"/>
          <w:szCs w:val="22"/>
          <w:lang w:eastAsia="en-US"/>
        </w:rPr>
        <w:footnoteReference w:id="8"/>
      </w:r>
    </w:p>
    <w:p w14:paraId="01F0B750" w14:textId="2AB9EE0A" w:rsidR="004F09A9" w:rsidRPr="00314BCC" w:rsidRDefault="004F09A9" w:rsidP="004F09A9">
      <w:pPr>
        <w:spacing w:after="320" w:line="360" w:lineRule="auto"/>
        <w:rPr>
          <w:rFonts w:asciiTheme="minorHAnsi" w:hAnsiTheme="minorHAnsi" w:cstheme="minorHAnsi"/>
          <w:sz w:val="22"/>
          <w:szCs w:val="22"/>
          <w:lang w:eastAsia="en-US"/>
        </w:rPr>
      </w:pPr>
      <w:r w:rsidRPr="00314BCC">
        <w:rPr>
          <w:rFonts w:asciiTheme="minorHAnsi" w:hAnsiTheme="minorHAnsi" w:cstheme="minorHAnsi"/>
          <w:sz w:val="22"/>
          <w:szCs w:val="22"/>
          <w:lang w:eastAsia="en-US"/>
        </w:rPr>
        <w:t xml:space="preserve">But even if you are, on balance, comfortable with </w:t>
      </w:r>
      <w:r w:rsidR="00233715" w:rsidRPr="00314BCC">
        <w:rPr>
          <w:rFonts w:asciiTheme="minorHAnsi" w:hAnsiTheme="minorHAnsi" w:cstheme="minorHAnsi"/>
          <w:sz w:val="22"/>
          <w:szCs w:val="22"/>
          <w:lang w:eastAsia="en-US"/>
        </w:rPr>
        <w:t xml:space="preserve">the </w:t>
      </w:r>
      <w:r w:rsidRPr="00314BCC">
        <w:rPr>
          <w:rFonts w:asciiTheme="minorHAnsi" w:hAnsiTheme="minorHAnsi" w:cstheme="minorHAnsi"/>
          <w:sz w:val="22"/>
          <w:szCs w:val="22"/>
          <w:lang w:eastAsia="en-US"/>
        </w:rPr>
        <w:t>legal risk</w:t>
      </w:r>
      <w:r w:rsidR="00233715" w:rsidRPr="00314BCC">
        <w:rPr>
          <w:rFonts w:asciiTheme="minorHAnsi" w:hAnsiTheme="minorHAnsi" w:cstheme="minorHAnsi"/>
          <w:sz w:val="22"/>
          <w:szCs w:val="22"/>
          <w:lang w:eastAsia="en-US"/>
        </w:rPr>
        <w:t xml:space="preserve"> your company or client is taking on</w:t>
      </w:r>
      <w:r w:rsidRPr="00314BCC">
        <w:rPr>
          <w:rFonts w:asciiTheme="minorHAnsi" w:hAnsiTheme="minorHAnsi" w:cstheme="minorHAnsi"/>
          <w:sz w:val="22"/>
          <w:szCs w:val="22"/>
          <w:lang w:eastAsia="en-US"/>
        </w:rPr>
        <w:t>,</w:t>
      </w:r>
      <w:r w:rsidR="003C59E7" w:rsidRPr="00314BCC">
        <w:rPr>
          <w:rFonts w:asciiTheme="minorHAnsi" w:hAnsiTheme="minorHAnsi" w:cstheme="minorHAnsi"/>
          <w:sz w:val="22"/>
          <w:szCs w:val="22"/>
          <w:lang w:eastAsia="en-US"/>
        </w:rPr>
        <w:t xml:space="preserve"> </w:t>
      </w:r>
      <w:r w:rsidRPr="00314BCC">
        <w:rPr>
          <w:rFonts w:asciiTheme="minorHAnsi" w:hAnsiTheme="minorHAnsi" w:cstheme="minorHAnsi"/>
          <w:sz w:val="22"/>
          <w:szCs w:val="22"/>
          <w:lang w:eastAsia="en-US"/>
        </w:rPr>
        <w:t xml:space="preserve">that’s not the end of it. </w:t>
      </w:r>
    </w:p>
    <w:p w14:paraId="0AB53369" w14:textId="77777777" w:rsidR="004F09A9" w:rsidRPr="00314BCC" w:rsidRDefault="004F09A9" w:rsidP="004F09A9">
      <w:pPr>
        <w:spacing w:after="320" w:line="360" w:lineRule="auto"/>
        <w:rPr>
          <w:rFonts w:asciiTheme="minorHAnsi" w:hAnsiTheme="minorHAnsi" w:cstheme="minorHAnsi"/>
          <w:sz w:val="22"/>
          <w:szCs w:val="22"/>
          <w:lang w:eastAsia="en-US"/>
        </w:rPr>
      </w:pPr>
      <w:r w:rsidRPr="00314BCC">
        <w:rPr>
          <w:rFonts w:asciiTheme="minorHAnsi" w:hAnsiTheme="minorHAnsi" w:cstheme="minorHAnsi"/>
          <w:sz w:val="22"/>
          <w:szCs w:val="22"/>
          <w:lang w:eastAsia="en-US"/>
        </w:rPr>
        <w:t>Think beyond your narrow legal risks to brand and reputation.</w:t>
      </w:r>
    </w:p>
    <w:p w14:paraId="6481F13A" w14:textId="77777777" w:rsidR="004F09A9" w:rsidRPr="00314BCC" w:rsidRDefault="004F09A9" w:rsidP="004F09A9">
      <w:pPr>
        <w:spacing w:after="320" w:line="360" w:lineRule="auto"/>
        <w:rPr>
          <w:rFonts w:asciiTheme="minorHAnsi" w:hAnsiTheme="minorHAnsi" w:cstheme="minorHAnsi"/>
          <w:sz w:val="22"/>
          <w:szCs w:val="22"/>
          <w:lang w:eastAsia="en-US"/>
        </w:rPr>
      </w:pPr>
      <w:r w:rsidRPr="00314BCC">
        <w:rPr>
          <w:rFonts w:asciiTheme="minorHAnsi" w:hAnsiTheme="minorHAnsi" w:cstheme="minorHAnsi"/>
          <w:sz w:val="22"/>
          <w:szCs w:val="22"/>
          <w:lang w:eastAsia="en-US"/>
        </w:rPr>
        <w:t>Because the community expects better from established, profitable companies. The community reaction to hearing that such companies are benefiting from black market labour is swift and strong.</w:t>
      </w:r>
    </w:p>
    <w:p w14:paraId="681023BD" w14:textId="77777777" w:rsidR="004F09A9" w:rsidRPr="00314BCC" w:rsidRDefault="004F09A9" w:rsidP="004F09A9">
      <w:pPr>
        <w:spacing w:after="320" w:line="360" w:lineRule="auto"/>
        <w:rPr>
          <w:rFonts w:asciiTheme="minorHAnsi" w:hAnsiTheme="minorHAnsi" w:cstheme="minorHAnsi"/>
          <w:sz w:val="22"/>
          <w:szCs w:val="22"/>
          <w:lang w:eastAsia="en-US"/>
        </w:rPr>
      </w:pPr>
      <w:r w:rsidRPr="00314BCC">
        <w:rPr>
          <w:rFonts w:asciiTheme="minorHAnsi" w:hAnsiTheme="minorHAnsi" w:cstheme="minorHAnsi"/>
          <w:sz w:val="22"/>
          <w:szCs w:val="22"/>
          <w:lang w:eastAsia="en-US"/>
        </w:rPr>
        <w:t xml:space="preserve">It doesn’t matter whether the workers, are engaged via franchising, outsourcing or labour-hire arrangements. </w:t>
      </w:r>
    </w:p>
    <w:p w14:paraId="4E37E6DF" w14:textId="77777777" w:rsidR="004F09A9" w:rsidRPr="00314BCC" w:rsidRDefault="004F09A9" w:rsidP="004F09A9">
      <w:pPr>
        <w:spacing w:after="320" w:line="360" w:lineRule="auto"/>
        <w:rPr>
          <w:rFonts w:asciiTheme="minorHAnsi" w:hAnsiTheme="minorHAnsi" w:cstheme="minorHAnsi"/>
          <w:sz w:val="22"/>
          <w:szCs w:val="22"/>
          <w:lang w:eastAsia="en-US"/>
        </w:rPr>
      </w:pPr>
      <w:r w:rsidRPr="00314BCC">
        <w:rPr>
          <w:rFonts w:asciiTheme="minorHAnsi" w:hAnsiTheme="minorHAnsi" w:cstheme="minorHAnsi"/>
          <w:sz w:val="22"/>
          <w:szCs w:val="22"/>
          <w:lang w:eastAsia="en-US"/>
        </w:rPr>
        <w:t>The community expects business to take responsibility for its labour, regardless of where strict legal liability begins and ends.</w:t>
      </w:r>
    </w:p>
    <w:p w14:paraId="51A0D15A" w14:textId="1686DF3B" w:rsidR="004F09A9" w:rsidRPr="00314BCC" w:rsidRDefault="004F09A9" w:rsidP="004F09A9">
      <w:pPr>
        <w:spacing w:after="320" w:line="360" w:lineRule="auto"/>
        <w:rPr>
          <w:rFonts w:asciiTheme="minorHAnsi" w:hAnsiTheme="minorHAnsi" w:cstheme="minorHAnsi"/>
          <w:sz w:val="22"/>
          <w:szCs w:val="22"/>
          <w:lang w:eastAsia="en-US"/>
        </w:rPr>
      </w:pPr>
      <w:r w:rsidRPr="00314BCC">
        <w:rPr>
          <w:rFonts w:asciiTheme="minorHAnsi" w:hAnsiTheme="minorHAnsi" w:cstheme="minorHAnsi"/>
          <w:sz w:val="22"/>
          <w:szCs w:val="22"/>
          <w:lang w:eastAsia="en-US"/>
        </w:rPr>
        <w:lastRenderedPageBreak/>
        <w:t xml:space="preserve">You may not think that it is your job to give public relations advice. </w:t>
      </w:r>
      <w:r w:rsidR="000A483C" w:rsidRPr="00314BCC">
        <w:rPr>
          <w:rFonts w:asciiTheme="minorHAnsi" w:hAnsiTheme="minorHAnsi" w:cstheme="minorHAnsi"/>
          <w:sz w:val="22"/>
          <w:szCs w:val="22"/>
          <w:lang w:eastAsia="en-US"/>
        </w:rPr>
        <w:t xml:space="preserve">But an organisation that limits their risk analysis to the strictly legal questions </w:t>
      </w:r>
      <w:r w:rsidR="00233715" w:rsidRPr="00314BCC">
        <w:rPr>
          <w:rFonts w:asciiTheme="minorHAnsi" w:hAnsiTheme="minorHAnsi" w:cstheme="minorHAnsi"/>
          <w:sz w:val="22"/>
          <w:szCs w:val="22"/>
          <w:lang w:eastAsia="en-US"/>
        </w:rPr>
        <w:t xml:space="preserve">about compliance with workplace laws </w:t>
      </w:r>
      <w:r w:rsidR="000A483C" w:rsidRPr="00314BCC">
        <w:rPr>
          <w:rFonts w:asciiTheme="minorHAnsi" w:hAnsiTheme="minorHAnsi" w:cstheme="minorHAnsi"/>
          <w:sz w:val="22"/>
          <w:szCs w:val="22"/>
          <w:lang w:eastAsia="en-US"/>
        </w:rPr>
        <w:t xml:space="preserve">is not considering the real risk. </w:t>
      </w:r>
    </w:p>
    <w:p w14:paraId="218C4975" w14:textId="01746F7E" w:rsidR="004F09A9" w:rsidRPr="00314BCC" w:rsidRDefault="009A50F1" w:rsidP="004F09A9">
      <w:pPr>
        <w:spacing w:after="320" w:line="360" w:lineRule="auto"/>
        <w:rPr>
          <w:rFonts w:asciiTheme="minorHAnsi" w:hAnsiTheme="minorHAnsi" w:cstheme="minorHAnsi"/>
          <w:sz w:val="22"/>
          <w:szCs w:val="22"/>
          <w:lang w:eastAsia="en-US"/>
        </w:rPr>
      </w:pPr>
      <w:r w:rsidRPr="00314BCC">
        <w:rPr>
          <w:rFonts w:asciiTheme="minorHAnsi" w:hAnsiTheme="minorHAnsi" w:cstheme="minorHAnsi"/>
          <w:sz w:val="22"/>
          <w:szCs w:val="22"/>
          <w:lang w:eastAsia="en-US"/>
        </w:rPr>
        <w:t>Every week, m</w:t>
      </w:r>
      <w:r w:rsidR="000A483C" w:rsidRPr="00314BCC">
        <w:rPr>
          <w:rFonts w:asciiTheme="minorHAnsi" w:hAnsiTheme="minorHAnsi" w:cstheme="minorHAnsi"/>
          <w:sz w:val="22"/>
          <w:szCs w:val="22"/>
          <w:lang w:eastAsia="en-US"/>
        </w:rPr>
        <w:t>y</w:t>
      </w:r>
      <w:r w:rsidR="004F09A9" w:rsidRPr="00314BCC">
        <w:rPr>
          <w:rFonts w:asciiTheme="minorHAnsi" w:hAnsiTheme="minorHAnsi" w:cstheme="minorHAnsi"/>
          <w:sz w:val="22"/>
          <w:szCs w:val="22"/>
          <w:lang w:eastAsia="en-US"/>
        </w:rPr>
        <w:t xml:space="preserve"> people </w:t>
      </w:r>
      <w:r w:rsidR="000A483C" w:rsidRPr="00314BCC">
        <w:rPr>
          <w:rFonts w:asciiTheme="minorHAnsi" w:hAnsiTheme="minorHAnsi" w:cstheme="minorHAnsi"/>
          <w:sz w:val="22"/>
          <w:szCs w:val="22"/>
          <w:lang w:eastAsia="en-US"/>
        </w:rPr>
        <w:t xml:space="preserve">sit </w:t>
      </w:r>
      <w:r w:rsidR="004F09A9" w:rsidRPr="00314BCC">
        <w:rPr>
          <w:rFonts w:asciiTheme="minorHAnsi" w:hAnsiTheme="minorHAnsi" w:cstheme="minorHAnsi"/>
          <w:sz w:val="22"/>
          <w:szCs w:val="22"/>
          <w:lang w:eastAsia="en-US"/>
        </w:rPr>
        <w:t>across the table from the Corporate Counsel or H</w:t>
      </w:r>
      <w:r w:rsidR="000A483C" w:rsidRPr="00314BCC">
        <w:rPr>
          <w:rFonts w:asciiTheme="minorHAnsi" w:hAnsiTheme="minorHAnsi" w:cstheme="minorHAnsi"/>
          <w:sz w:val="22"/>
          <w:szCs w:val="22"/>
          <w:lang w:eastAsia="en-US"/>
        </w:rPr>
        <w:t xml:space="preserve">uman </w:t>
      </w:r>
      <w:r w:rsidR="004F09A9" w:rsidRPr="00314BCC">
        <w:rPr>
          <w:rFonts w:asciiTheme="minorHAnsi" w:hAnsiTheme="minorHAnsi" w:cstheme="minorHAnsi"/>
          <w:sz w:val="22"/>
          <w:szCs w:val="22"/>
          <w:lang w:eastAsia="en-US"/>
        </w:rPr>
        <w:t>R</w:t>
      </w:r>
      <w:r w:rsidR="000A483C" w:rsidRPr="00314BCC">
        <w:rPr>
          <w:rFonts w:asciiTheme="minorHAnsi" w:hAnsiTheme="minorHAnsi" w:cstheme="minorHAnsi"/>
          <w:sz w:val="22"/>
          <w:szCs w:val="22"/>
          <w:lang w:eastAsia="en-US"/>
        </w:rPr>
        <w:t>esources</w:t>
      </w:r>
      <w:r w:rsidR="004F09A9" w:rsidRPr="00314BCC">
        <w:rPr>
          <w:rFonts w:asciiTheme="minorHAnsi" w:hAnsiTheme="minorHAnsi" w:cstheme="minorHAnsi"/>
          <w:sz w:val="22"/>
          <w:szCs w:val="22"/>
          <w:lang w:eastAsia="en-US"/>
        </w:rPr>
        <w:t xml:space="preserve"> Manager</w:t>
      </w:r>
      <w:r w:rsidR="000A483C" w:rsidRPr="00314BCC">
        <w:rPr>
          <w:rFonts w:asciiTheme="minorHAnsi" w:hAnsiTheme="minorHAnsi" w:cstheme="minorHAnsi"/>
          <w:sz w:val="22"/>
          <w:szCs w:val="22"/>
          <w:lang w:eastAsia="en-US"/>
        </w:rPr>
        <w:t xml:space="preserve">s </w:t>
      </w:r>
      <w:r w:rsidR="00233715" w:rsidRPr="00314BCC">
        <w:rPr>
          <w:rFonts w:asciiTheme="minorHAnsi" w:hAnsiTheme="minorHAnsi" w:cstheme="minorHAnsi"/>
          <w:sz w:val="22"/>
          <w:szCs w:val="22"/>
          <w:lang w:eastAsia="en-US"/>
        </w:rPr>
        <w:t xml:space="preserve">who are </w:t>
      </w:r>
      <w:r w:rsidR="000A483C" w:rsidRPr="00314BCC">
        <w:rPr>
          <w:rFonts w:asciiTheme="minorHAnsi" w:hAnsiTheme="minorHAnsi" w:cstheme="minorHAnsi"/>
          <w:sz w:val="22"/>
          <w:szCs w:val="22"/>
          <w:lang w:eastAsia="en-US"/>
        </w:rPr>
        <w:t>adopting a</w:t>
      </w:r>
      <w:r w:rsidRPr="00314BCC">
        <w:rPr>
          <w:rFonts w:asciiTheme="minorHAnsi" w:hAnsiTheme="minorHAnsi" w:cstheme="minorHAnsi"/>
          <w:sz w:val="22"/>
          <w:szCs w:val="22"/>
          <w:lang w:eastAsia="en-US"/>
        </w:rPr>
        <w:t xml:space="preserve"> </w:t>
      </w:r>
      <w:r w:rsidR="004F09A9" w:rsidRPr="00314BCC">
        <w:rPr>
          <w:rFonts w:asciiTheme="minorHAnsi" w:hAnsiTheme="minorHAnsi" w:cstheme="minorHAnsi"/>
          <w:sz w:val="22"/>
          <w:szCs w:val="22"/>
          <w:lang w:eastAsia="en-US"/>
        </w:rPr>
        <w:t>narrow focus</w:t>
      </w:r>
      <w:r w:rsidR="000A483C" w:rsidRPr="00314BCC">
        <w:rPr>
          <w:rFonts w:asciiTheme="minorHAnsi" w:hAnsiTheme="minorHAnsi" w:cstheme="minorHAnsi"/>
          <w:sz w:val="22"/>
          <w:szCs w:val="22"/>
          <w:lang w:eastAsia="en-US"/>
        </w:rPr>
        <w:t xml:space="preserve">. I </w:t>
      </w:r>
      <w:r w:rsidR="004F09A9" w:rsidRPr="00314BCC">
        <w:rPr>
          <w:rFonts w:asciiTheme="minorHAnsi" w:hAnsiTheme="minorHAnsi" w:cstheme="minorHAnsi"/>
          <w:sz w:val="22"/>
          <w:szCs w:val="22"/>
          <w:lang w:eastAsia="en-US"/>
        </w:rPr>
        <w:t xml:space="preserve">sometimes feel that their company </w:t>
      </w:r>
      <w:bookmarkStart w:id="0" w:name="_GoBack"/>
      <w:bookmarkEnd w:id="0"/>
      <w:r w:rsidR="004F09A9" w:rsidRPr="00314BCC">
        <w:rPr>
          <w:rFonts w:asciiTheme="minorHAnsi" w:hAnsiTheme="minorHAnsi" w:cstheme="minorHAnsi"/>
          <w:sz w:val="22"/>
          <w:szCs w:val="22"/>
          <w:lang w:eastAsia="en-US"/>
        </w:rPr>
        <w:t xml:space="preserve">would be better represented if they broadened their perspective …and their advice…beyond defending a legal strategy and considered the full set of consequences of what has occurred. Not to mention the moral and ethical part of the picture.  </w:t>
      </w:r>
    </w:p>
    <w:p w14:paraId="77AC477C" w14:textId="248776E7" w:rsidR="009748EE" w:rsidRPr="00314BCC" w:rsidRDefault="004F09A9" w:rsidP="004F09A9">
      <w:pPr>
        <w:spacing w:after="320" w:line="360" w:lineRule="auto"/>
        <w:rPr>
          <w:rFonts w:asciiTheme="minorHAnsi" w:hAnsiTheme="minorHAnsi" w:cstheme="minorHAnsi"/>
          <w:sz w:val="22"/>
          <w:szCs w:val="22"/>
          <w:lang w:eastAsia="en-US"/>
        </w:rPr>
      </w:pPr>
      <w:r w:rsidRPr="00314BCC">
        <w:rPr>
          <w:rFonts w:asciiTheme="minorHAnsi" w:hAnsiTheme="minorHAnsi" w:cstheme="minorHAnsi"/>
          <w:sz w:val="22"/>
          <w:szCs w:val="22"/>
          <w:lang w:eastAsia="en-US"/>
        </w:rPr>
        <w:t xml:space="preserve">And this becomes even more significant when we consider the Government’s election commitments. </w:t>
      </w:r>
    </w:p>
    <w:p w14:paraId="52C365CD" w14:textId="2D774DBD" w:rsidR="004F09A9" w:rsidRPr="00314BCC" w:rsidRDefault="00AA7F2E" w:rsidP="00314BCC">
      <w:pPr>
        <w:spacing w:after="320" w:line="360" w:lineRule="auto"/>
        <w:jc w:val="center"/>
        <w:rPr>
          <w:rFonts w:asciiTheme="minorHAnsi" w:eastAsiaTheme="minorHAnsi" w:hAnsiTheme="minorHAnsi" w:cstheme="minorHAnsi"/>
          <w:b/>
          <w:iCs/>
          <w:sz w:val="22"/>
          <w:szCs w:val="22"/>
          <w:lang w:eastAsia="en-US"/>
        </w:rPr>
      </w:pPr>
      <w:r w:rsidRPr="00314BCC">
        <w:rPr>
          <w:rFonts w:asciiTheme="minorHAnsi" w:eastAsiaTheme="minorHAnsi" w:hAnsiTheme="minorHAnsi" w:cstheme="minorHAnsi"/>
          <w:b/>
          <w:iCs/>
          <w:sz w:val="22"/>
          <w:szCs w:val="22"/>
          <w:lang w:eastAsia="en-US"/>
        </w:rPr>
        <w:t xml:space="preserve">Extending the </w:t>
      </w:r>
      <w:r w:rsidR="00A77922">
        <w:rPr>
          <w:rFonts w:asciiTheme="minorHAnsi" w:eastAsiaTheme="minorHAnsi" w:hAnsiTheme="minorHAnsi" w:cstheme="minorHAnsi"/>
          <w:b/>
          <w:iCs/>
          <w:sz w:val="22"/>
          <w:szCs w:val="22"/>
          <w:lang w:eastAsia="en-US"/>
        </w:rPr>
        <w:t>Long Arm of the law – new tools</w:t>
      </w:r>
    </w:p>
    <w:p w14:paraId="0C4606B3" w14:textId="77777777" w:rsidR="004F09A9"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sz w:val="22"/>
          <w:szCs w:val="22"/>
          <w:lang w:eastAsia="en-US"/>
        </w:rPr>
        <w:t xml:space="preserve">In the recent election campaign, the Government committed to making a range of changes to the Fair Work Act. </w:t>
      </w:r>
    </w:p>
    <w:p w14:paraId="757BBC71" w14:textId="09C01B4C" w:rsidR="004F09A9"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sz w:val="22"/>
          <w:szCs w:val="22"/>
          <w:lang w:eastAsia="en-US"/>
        </w:rPr>
        <w:t xml:space="preserve">To deal with </w:t>
      </w:r>
      <w:r w:rsidR="00A954B5" w:rsidRPr="00314BCC">
        <w:rPr>
          <w:rFonts w:asciiTheme="minorHAnsi" w:eastAsiaTheme="minorHAnsi" w:hAnsiTheme="minorHAnsi" w:cstheme="minorHAnsi"/>
          <w:sz w:val="22"/>
          <w:szCs w:val="22"/>
          <w:lang w:eastAsia="en-US"/>
        </w:rPr>
        <w:t>franchisors</w:t>
      </w:r>
      <w:r w:rsidRPr="00314BCC">
        <w:rPr>
          <w:rFonts w:asciiTheme="minorHAnsi" w:eastAsiaTheme="minorHAnsi" w:hAnsiTheme="minorHAnsi" w:cstheme="minorHAnsi"/>
          <w:sz w:val="22"/>
          <w:szCs w:val="22"/>
          <w:lang w:eastAsia="en-US"/>
        </w:rPr>
        <w:t xml:space="preserve"> like 7-Eleven, the Government has committed to new laws that capture franchisors and parent companies that fail to deal with exploitation in their networks.</w:t>
      </w:r>
    </w:p>
    <w:p w14:paraId="26F93CD4" w14:textId="186A2997" w:rsidR="004F09A9"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sz w:val="22"/>
          <w:szCs w:val="22"/>
          <w:lang w:eastAsia="en-US"/>
        </w:rPr>
        <w:t xml:space="preserve">It is interesting to contemplate what 7-Eleven or Yogurberry might look like had these new laws been in place. </w:t>
      </w:r>
    </w:p>
    <w:p w14:paraId="429F5B92" w14:textId="33ABC22A" w:rsidR="004F09A9"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sz w:val="22"/>
          <w:szCs w:val="22"/>
          <w:lang w:eastAsia="en-US"/>
        </w:rPr>
        <w:t xml:space="preserve">The policy also commits to strengthening the </w:t>
      </w:r>
      <w:r w:rsidR="00710983" w:rsidRPr="00314BCC">
        <w:rPr>
          <w:rFonts w:asciiTheme="minorHAnsi" w:eastAsiaTheme="minorHAnsi" w:hAnsiTheme="minorHAnsi" w:cstheme="minorHAnsi"/>
          <w:sz w:val="22"/>
          <w:szCs w:val="22"/>
          <w:lang w:eastAsia="en-US"/>
        </w:rPr>
        <w:t>Fair Work Ombudsman</w:t>
      </w:r>
      <w:r w:rsidRPr="00314BCC">
        <w:rPr>
          <w:rFonts w:asciiTheme="minorHAnsi" w:eastAsiaTheme="minorHAnsi" w:hAnsiTheme="minorHAnsi" w:cstheme="minorHAnsi"/>
          <w:sz w:val="22"/>
          <w:szCs w:val="22"/>
          <w:lang w:eastAsia="en-US"/>
        </w:rPr>
        <w:t xml:space="preserve">’s compliance and enforcement powers to allow us to </w:t>
      </w:r>
      <w:r w:rsidRPr="00314BCC">
        <w:rPr>
          <w:rFonts w:asciiTheme="minorHAnsi" w:eastAsiaTheme="minorHAnsi" w:hAnsiTheme="minorHAnsi" w:cstheme="minorHAnsi"/>
          <w:b/>
          <w:sz w:val="22"/>
          <w:szCs w:val="22"/>
          <w:lang w:eastAsia="en-US"/>
        </w:rPr>
        <w:t xml:space="preserve">compel employers and other witnesses to produce information or answer questions, </w:t>
      </w:r>
      <w:r w:rsidRPr="00314BCC">
        <w:rPr>
          <w:rFonts w:asciiTheme="minorHAnsi" w:eastAsiaTheme="minorHAnsi" w:hAnsiTheme="minorHAnsi" w:cstheme="minorHAnsi"/>
          <w:sz w:val="22"/>
          <w:szCs w:val="22"/>
          <w:lang w:eastAsia="en-US"/>
        </w:rPr>
        <w:t>subject to appropriate checks and balances. This will greatly assist my agency to get the evidence it needs to take employers and accessories to court.</w:t>
      </w:r>
    </w:p>
    <w:p w14:paraId="7688BF9C" w14:textId="5837215A" w:rsidR="004F09A9"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sz w:val="22"/>
          <w:szCs w:val="22"/>
          <w:lang w:eastAsia="en-US"/>
        </w:rPr>
        <w:t xml:space="preserve">The Government has also indicated that it intends to increase the penalties that apply to employers who deliberately and systematically underpay workers or fail to keep proper employment records. The increased penalties will be </w:t>
      </w:r>
      <w:r w:rsidRPr="00314BCC">
        <w:rPr>
          <w:rFonts w:asciiTheme="minorHAnsi" w:eastAsiaTheme="minorHAnsi" w:hAnsiTheme="minorHAnsi" w:cstheme="minorHAnsi"/>
          <w:b/>
          <w:sz w:val="22"/>
          <w:szCs w:val="22"/>
          <w:lang w:eastAsia="en-US"/>
        </w:rPr>
        <w:t>ten times the current maximum</w:t>
      </w:r>
      <w:r w:rsidRPr="00314BCC">
        <w:rPr>
          <w:rFonts w:asciiTheme="minorHAnsi" w:eastAsiaTheme="minorHAnsi" w:hAnsiTheme="minorHAnsi" w:cstheme="minorHAnsi"/>
          <w:sz w:val="22"/>
          <w:szCs w:val="22"/>
          <w:lang w:eastAsia="en-US"/>
        </w:rPr>
        <w:t>, and should strongly deter those employers who might otherwise be tempted to cut costs by underpaying employee</w:t>
      </w:r>
      <w:r w:rsidR="00233715" w:rsidRPr="00314BCC">
        <w:rPr>
          <w:rFonts w:asciiTheme="minorHAnsi" w:eastAsiaTheme="minorHAnsi" w:hAnsiTheme="minorHAnsi" w:cstheme="minorHAnsi"/>
          <w:sz w:val="22"/>
          <w:szCs w:val="22"/>
          <w:lang w:eastAsia="en-US"/>
        </w:rPr>
        <w:t>s.</w:t>
      </w:r>
    </w:p>
    <w:p w14:paraId="772BC020" w14:textId="730B15B4" w:rsidR="004F09A9"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sz w:val="22"/>
          <w:szCs w:val="22"/>
          <w:lang w:eastAsia="en-US"/>
        </w:rPr>
        <w:t xml:space="preserve">These proposals have been informed by our experience and we look forward to working with the Government in framing effective </w:t>
      </w:r>
      <w:r w:rsidR="008F74F2" w:rsidRPr="00314BCC">
        <w:rPr>
          <w:rFonts w:asciiTheme="minorHAnsi" w:eastAsiaTheme="minorHAnsi" w:hAnsiTheme="minorHAnsi" w:cstheme="minorHAnsi"/>
          <w:sz w:val="22"/>
          <w:szCs w:val="22"/>
          <w:lang w:eastAsia="en-US"/>
        </w:rPr>
        <w:t xml:space="preserve">and </w:t>
      </w:r>
      <w:r w:rsidRPr="00314BCC">
        <w:rPr>
          <w:rFonts w:asciiTheme="minorHAnsi" w:eastAsiaTheme="minorHAnsi" w:hAnsiTheme="minorHAnsi" w:cstheme="minorHAnsi"/>
          <w:sz w:val="22"/>
          <w:szCs w:val="22"/>
          <w:lang w:eastAsia="en-US"/>
        </w:rPr>
        <w:t xml:space="preserve">appropriately balanced amendments. </w:t>
      </w:r>
    </w:p>
    <w:p w14:paraId="64768096" w14:textId="0D2112FB" w:rsidR="004F09A9"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sz w:val="22"/>
          <w:szCs w:val="22"/>
          <w:lang w:eastAsia="en-US"/>
        </w:rPr>
        <w:lastRenderedPageBreak/>
        <w:t xml:space="preserve">So, in light of the actions of the </w:t>
      </w:r>
      <w:r w:rsidR="00710983" w:rsidRPr="00314BCC">
        <w:rPr>
          <w:rFonts w:asciiTheme="minorHAnsi" w:eastAsiaTheme="minorHAnsi" w:hAnsiTheme="minorHAnsi" w:cstheme="minorHAnsi"/>
          <w:sz w:val="22"/>
          <w:szCs w:val="22"/>
          <w:lang w:eastAsia="en-US"/>
        </w:rPr>
        <w:t>Fair Work Ombudsman</w:t>
      </w:r>
      <w:r w:rsidRPr="00314BCC">
        <w:rPr>
          <w:rFonts w:asciiTheme="minorHAnsi" w:eastAsiaTheme="minorHAnsi" w:hAnsiTheme="minorHAnsi" w:cstheme="minorHAnsi"/>
          <w:sz w:val="22"/>
          <w:szCs w:val="22"/>
          <w:lang w:eastAsia="en-US"/>
        </w:rPr>
        <w:t xml:space="preserve"> and the intentions of the Government, it’s fair to say that employers and advisers who set out to do the wrong thing have cause for concern.</w:t>
      </w:r>
    </w:p>
    <w:p w14:paraId="48E1D2DE" w14:textId="2C772D95" w:rsidR="00710983"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sz w:val="22"/>
          <w:szCs w:val="22"/>
          <w:lang w:eastAsia="en-US"/>
        </w:rPr>
        <w:t>And that is good news for the rest of us.  Because bit by bit, my agency is doing what i</w:t>
      </w:r>
      <w:r w:rsidR="00710983" w:rsidRPr="00314BCC">
        <w:rPr>
          <w:rFonts w:asciiTheme="minorHAnsi" w:eastAsiaTheme="minorHAnsi" w:hAnsiTheme="minorHAnsi" w:cstheme="minorHAnsi"/>
          <w:sz w:val="22"/>
          <w:szCs w:val="22"/>
          <w:lang w:eastAsia="en-US"/>
        </w:rPr>
        <w:t xml:space="preserve">t can to ensure a level playing </w:t>
      </w:r>
      <w:r w:rsidRPr="00314BCC">
        <w:rPr>
          <w:rFonts w:asciiTheme="minorHAnsi" w:eastAsiaTheme="minorHAnsi" w:hAnsiTheme="minorHAnsi" w:cstheme="minorHAnsi"/>
          <w:sz w:val="22"/>
          <w:szCs w:val="22"/>
          <w:lang w:eastAsia="en-US"/>
        </w:rPr>
        <w:t>field</w:t>
      </w:r>
      <w:r w:rsidR="008F74F2" w:rsidRPr="00314BCC">
        <w:rPr>
          <w:rFonts w:asciiTheme="minorHAnsi" w:eastAsiaTheme="minorHAnsi" w:hAnsiTheme="minorHAnsi" w:cstheme="minorHAnsi"/>
          <w:sz w:val="22"/>
          <w:szCs w:val="22"/>
          <w:lang w:eastAsia="en-US"/>
        </w:rPr>
        <w:t xml:space="preserve">, so that compliant businesses that are doing the right thing and seeking the right advice are not at a competitive disadvantage. </w:t>
      </w:r>
    </w:p>
    <w:p w14:paraId="1610AE9A" w14:textId="46957A23" w:rsidR="004F09A9" w:rsidRPr="00314BCC" w:rsidRDefault="00AA7F2E" w:rsidP="00314BCC">
      <w:pPr>
        <w:spacing w:after="320" w:line="360" w:lineRule="auto"/>
        <w:jc w:val="center"/>
        <w:rPr>
          <w:rFonts w:asciiTheme="minorHAnsi" w:eastAsiaTheme="minorHAnsi" w:hAnsiTheme="minorHAnsi" w:cstheme="minorHAnsi"/>
          <w:b/>
          <w:sz w:val="22"/>
          <w:szCs w:val="22"/>
          <w:lang w:eastAsia="en-US"/>
        </w:rPr>
      </w:pPr>
      <w:r w:rsidRPr="00314BCC">
        <w:rPr>
          <w:rFonts w:asciiTheme="minorHAnsi" w:hAnsiTheme="minorHAnsi" w:cstheme="minorHAnsi"/>
          <w:b/>
          <w:iCs/>
          <w:sz w:val="22"/>
          <w:szCs w:val="22"/>
        </w:rPr>
        <w:t xml:space="preserve">Avoid the Long Arm of accessorial </w:t>
      </w:r>
      <w:r w:rsidR="00DE56C7" w:rsidRPr="00314BCC">
        <w:rPr>
          <w:rFonts w:asciiTheme="minorHAnsi" w:hAnsiTheme="minorHAnsi" w:cstheme="minorHAnsi"/>
          <w:b/>
          <w:iCs/>
          <w:sz w:val="22"/>
          <w:szCs w:val="22"/>
        </w:rPr>
        <w:t>liability</w:t>
      </w:r>
      <w:r w:rsidR="000D78DE">
        <w:rPr>
          <w:rFonts w:asciiTheme="minorHAnsi" w:hAnsiTheme="minorHAnsi" w:cstheme="minorHAnsi"/>
          <w:b/>
          <w:iCs/>
          <w:sz w:val="22"/>
          <w:szCs w:val="22"/>
        </w:rPr>
        <w:t>: Get your house in order</w:t>
      </w:r>
    </w:p>
    <w:p w14:paraId="3CECE1A1" w14:textId="385C62F6" w:rsidR="004F09A9"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sz w:val="22"/>
          <w:szCs w:val="22"/>
          <w:lang w:eastAsia="en-US"/>
        </w:rPr>
        <w:t>We are hopeful that a very welcome boost to our powers in the future will help us to drive cultural change</w:t>
      </w:r>
      <w:r w:rsidR="008F74F2" w:rsidRPr="00314BCC">
        <w:rPr>
          <w:rFonts w:asciiTheme="minorHAnsi" w:eastAsiaTheme="minorHAnsi" w:hAnsiTheme="minorHAnsi" w:cstheme="minorHAnsi"/>
          <w:sz w:val="22"/>
          <w:szCs w:val="22"/>
          <w:lang w:eastAsia="en-US"/>
        </w:rPr>
        <w:t>, to enable us to work with</w:t>
      </w:r>
      <w:r w:rsidR="00233715" w:rsidRPr="00314BCC">
        <w:rPr>
          <w:rFonts w:asciiTheme="minorHAnsi" w:eastAsiaTheme="minorHAnsi" w:hAnsiTheme="minorHAnsi" w:cstheme="minorHAnsi"/>
          <w:sz w:val="22"/>
          <w:szCs w:val="22"/>
          <w:lang w:eastAsia="en-US"/>
        </w:rPr>
        <w:t xml:space="preserve"> </w:t>
      </w:r>
      <w:r w:rsidR="008F74F2" w:rsidRPr="00314BCC">
        <w:rPr>
          <w:rFonts w:asciiTheme="minorHAnsi" w:eastAsiaTheme="minorHAnsi" w:hAnsiTheme="minorHAnsi" w:cstheme="minorHAnsi"/>
          <w:sz w:val="22"/>
          <w:szCs w:val="22"/>
          <w:lang w:eastAsia="en-US"/>
        </w:rPr>
        <w:t xml:space="preserve">others to build a culture of compliance with workplace laws. We know the law is only part of the picture, but it’s a critical part. </w:t>
      </w:r>
    </w:p>
    <w:p w14:paraId="6698BBAC" w14:textId="6CAD7867" w:rsidR="004F09A9"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sz w:val="22"/>
          <w:szCs w:val="22"/>
          <w:lang w:eastAsia="en-US"/>
        </w:rPr>
        <w:t xml:space="preserve">And as a result, the CEO of your company, and the clients that you deal with, </w:t>
      </w:r>
      <w:r w:rsidR="008F74F2" w:rsidRPr="00314BCC">
        <w:rPr>
          <w:rFonts w:asciiTheme="minorHAnsi" w:eastAsiaTheme="minorHAnsi" w:hAnsiTheme="minorHAnsi" w:cstheme="minorHAnsi"/>
          <w:sz w:val="22"/>
          <w:szCs w:val="22"/>
          <w:lang w:eastAsia="en-US"/>
        </w:rPr>
        <w:t>may</w:t>
      </w:r>
      <w:r w:rsidRPr="00314BCC">
        <w:rPr>
          <w:rFonts w:asciiTheme="minorHAnsi" w:eastAsiaTheme="minorHAnsi" w:hAnsiTheme="minorHAnsi" w:cstheme="minorHAnsi"/>
          <w:sz w:val="22"/>
          <w:szCs w:val="22"/>
          <w:lang w:eastAsia="en-US"/>
        </w:rPr>
        <w:t xml:space="preserve"> be </w:t>
      </w:r>
      <w:r w:rsidR="008F74F2" w:rsidRPr="00314BCC">
        <w:rPr>
          <w:rFonts w:asciiTheme="minorHAnsi" w:eastAsiaTheme="minorHAnsi" w:hAnsiTheme="minorHAnsi" w:cstheme="minorHAnsi"/>
          <w:sz w:val="22"/>
          <w:szCs w:val="22"/>
          <w:lang w:eastAsia="en-US"/>
        </w:rPr>
        <w:t xml:space="preserve">more </w:t>
      </w:r>
      <w:r w:rsidRPr="00314BCC">
        <w:rPr>
          <w:rFonts w:asciiTheme="minorHAnsi" w:eastAsiaTheme="minorHAnsi" w:hAnsiTheme="minorHAnsi" w:cstheme="minorHAnsi"/>
          <w:sz w:val="22"/>
          <w:szCs w:val="22"/>
          <w:lang w:eastAsia="en-US"/>
        </w:rPr>
        <w:t>receptive to the messages that you give them about managing risks</w:t>
      </w:r>
      <w:r w:rsidR="00233715" w:rsidRPr="00314BCC">
        <w:rPr>
          <w:rFonts w:asciiTheme="minorHAnsi" w:eastAsiaTheme="minorHAnsi" w:hAnsiTheme="minorHAnsi" w:cstheme="minorHAnsi"/>
          <w:sz w:val="22"/>
          <w:szCs w:val="22"/>
          <w:lang w:eastAsia="en-US"/>
        </w:rPr>
        <w:t xml:space="preserve"> holistically when it comes to </w:t>
      </w:r>
      <w:r w:rsidRPr="00314BCC">
        <w:rPr>
          <w:rFonts w:asciiTheme="minorHAnsi" w:eastAsiaTheme="minorHAnsi" w:hAnsiTheme="minorHAnsi" w:cstheme="minorHAnsi"/>
          <w:sz w:val="22"/>
          <w:szCs w:val="22"/>
          <w:lang w:eastAsia="en-US"/>
        </w:rPr>
        <w:t>Australian workplace laws.</w:t>
      </w:r>
    </w:p>
    <w:p w14:paraId="0C649BB1" w14:textId="55F0F8B5" w:rsidR="004F09A9"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sz w:val="22"/>
          <w:szCs w:val="22"/>
          <w:lang w:eastAsia="en-US"/>
        </w:rPr>
        <w:t xml:space="preserve">If any of you have ever had trouble persuading your Board or your CEO of the merits of your advice, I’m here to give you the new pitch.  Compliance with workplace laws is not simply </w:t>
      </w:r>
      <w:r w:rsidR="008F74F2" w:rsidRPr="00314BCC">
        <w:rPr>
          <w:rFonts w:asciiTheme="minorHAnsi" w:eastAsiaTheme="minorHAnsi" w:hAnsiTheme="minorHAnsi" w:cstheme="minorHAnsi"/>
          <w:sz w:val="22"/>
          <w:szCs w:val="22"/>
          <w:lang w:eastAsia="en-US"/>
        </w:rPr>
        <w:t>a question of tick and flick</w:t>
      </w:r>
      <w:r w:rsidRPr="00314BCC">
        <w:rPr>
          <w:rFonts w:asciiTheme="minorHAnsi" w:eastAsiaTheme="minorHAnsi" w:hAnsiTheme="minorHAnsi" w:cstheme="minorHAnsi"/>
          <w:sz w:val="22"/>
          <w:szCs w:val="22"/>
          <w:lang w:eastAsia="en-US"/>
        </w:rPr>
        <w:t xml:space="preserve">.  </w:t>
      </w:r>
    </w:p>
    <w:p w14:paraId="0AB57F7D" w14:textId="38699ECE" w:rsidR="004F09A9"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sz w:val="22"/>
          <w:szCs w:val="22"/>
          <w:lang w:eastAsia="en-US"/>
        </w:rPr>
        <w:t xml:space="preserve">If it’s sitting at the green light end of a risk matrix, you may want to </w:t>
      </w:r>
      <w:r w:rsidR="008F74F2" w:rsidRPr="00314BCC">
        <w:rPr>
          <w:rFonts w:asciiTheme="minorHAnsi" w:eastAsiaTheme="minorHAnsi" w:hAnsiTheme="minorHAnsi" w:cstheme="minorHAnsi"/>
          <w:sz w:val="22"/>
          <w:szCs w:val="22"/>
          <w:lang w:eastAsia="en-US"/>
        </w:rPr>
        <w:t xml:space="preserve">consider what </w:t>
      </w:r>
      <w:r w:rsidR="00233715" w:rsidRPr="00314BCC">
        <w:rPr>
          <w:rFonts w:asciiTheme="minorHAnsi" w:eastAsiaTheme="minorHAnsi" w:hAnsiTheme="minorHAnsi" w:cstheme="minorHAnsi"/>
          <w:sz w:val="22"/>
          <w:szCs w:val="22"/>
          <w:lang w:eastAsia="en-US"/>
        </w:rPr>
        <w:t xml:space="preserve">assurance you have put in place, </w:t>
      </w:r>
      <w:r w:rsidR="008F74F2" w:rsidRPr="00314BCC">
        <w:rPr>
          <w:rFonts w:asciiTheme="minorHAnsi" w:eastAsiaTheme="minorHAnsi" w:hAnsiTheme="minorHAnsi" w:cstheme="minorHAnsi"/>
          <w:sz w:val="22"/>
          <w:szCs w:val="22"/>
          <w:lang w:eastAsia="en-US"/>
        </w:rPr>
        <w:t xml:space="preserve">not just with respect to </w:t>
      </w:r>
      <w:r w:rsidR="00710983" w:rsidRPr="00314BCC">
        <w:rPr>
          <w:rFonts w:asciiTheme="minorHAnsi" w:eastAsiaTheme="minorHAnsi" w:hAnsiTheme="minorHAnsi" w:cstheme="minorHAnsi"/>
          <w:sz w:val="22"/>
          <w:szCs w:val="22"/>
          <w:lang w:eastAsia="en-US"/>
        </w:rPr>
        <w:t>the company’s</w:t>
      </w:r>
      <w:r w:rsidR="008F74F2" w:rsidRPr="00314BCC">
        <w:rPr>
          <w:rFonts w:asciiTheme="minorHAnsi" w:eastAsiaTheme="minorHAnsi" w:hAnsiTheme="minorHAnsi" w:cstheme="minorHAnsi"/>
          <w:sz w:val="22"/>
          <w:szCs w:val="22"/>
          <w:lang w:eastAsia="en-US"/>
        </w:rPr>
        <w:t xml:space="preserve"> own workers, but with respect to its labour supply chains. Who’s emptying the bins or staffing the counter downstairs? Are you sure they are being paid correctly?</w:t>
      </w:r>
    </w:p>
    <w:p w14:paraId="6FE89C00" w14:textId="033C39FE" w:rsidR="004F09A9"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sz w:val="22"/>
          <w:szCs w:val="22"/>
          <w:lang w:eastAsia="en-US"/>
        </w:rPr>
        <w:t>Those involved in the decision making around the strategy for and compliance with</w:t>
      </w:r>
      <w:r w:rsidR="00710983" w:rsidRPr="00314BCC">
        <w:rPr>
          <w:rFonts w:asciiTheme="minorHAnsi" w:eastAsiaTheme="minorHAnsi" w:hAnsiTheme="minorHAnsi" w:cstheme="minorHAnsi"/>
          <w:sz w:val="22"/>
          <w:szCs w:val="22"/>
          <w:lang w:eastAsia="en-US"/>
        </w:rPr>
        <w:t xml:space="preserve"> workplace laws are on notice. </w:t>
      </w:r>
      <w:r w:rsidRPr="00314BCC">
        <w:rPr>
          <w:rFonts w:asciiTheme="minorHAnsi" w:eastAsiaTheme="minorHAnsi" w:hAnsiTheme="minorHAnsi" w:cstheme="minorHAnsi"/>
          <w:sz w:val="22"/>
          <w:szCs w:val="22"/>
          <w:lang w:eastAsia="en-US"/>
        </w:rPr>
        <w:t xml:space="preserve">You can find yourselves personally liable for </w:t>
      </w:r>
      <w:r w:rsidR="008F74F2" w:rsidRPr="00314BCC">
        <w:rPr>
          <w:rFonts w:asciiTheme="minorHAnsi" w:eastAsiaTheme="minorHAnsi" w:hAnsiTheme="minorHAnsi" w:cstheme="minorHAnsi"/>
          <w:sz w:val="22"/>
          <w:szCs w:val="22"/>
          <w:lang w:eastAsia="en-US"/>
        </w:rPr>
        <w:t xml:space="preserve">the </w:t>
      </w:r>
      <w:r w:rsidR="00710983" w:rsidRPr="00314BCC">
        <w:rPr>
          <w:rFonts w:asciiTheme="minorHAnsi" w:eastAsiaTheme="minorHAnsi" w:hAnsiTheme="minorHAnsi" w:cstheme="minorHAnsi"/>
          <w:sz w:val="22"/>
          <w:szCs w:val="22"/>
          <w:lang w:eastAsia="en-US"/>
        </w:rPr>
        <w:t>actions</w:t>
      </w:r>
      <w:r w:rsidR="008F74F2" w:rsidRPr="00314BCC">
        <w:rPr>
          <w:rFonts w:asciiTheme="minorHAnsi" w:eastAsiaTheme="minorHAnsi" w:hAnsiTheme="minorHAnsi" w:cstheme="minorHAnsi"/>
          <w:sz w:val="22"/>
          <w:szCs w:val="22"/>
          <w:lang w:eastAsia="en-US"/>
        </w:rPr>
        <w:t xml:space="preserve"> or inactions you help the company take</w:t>
      </w:r>
      <w:r w:rsidRPr="00314BCC">
        <w:rPr>
          <w:rFonts w:asciiTheme="minorHAnsi" w:eastAsiaTheme="minorHAnsi" w:hAnsiTheme="minorHAnsi" w:cstheme="minorHAnsi"/>
          <w:sz w:val="22"/>
          <w:szCs w:val="22"/>
          <w:lang w:eastAsia="en-US"/>
        </w:rPr>
        <w:t xml:space="preserve">.  </w:t>
      </w:r>
    </w:p>
    <w:p w14:paraId="49B591AD" w14:textId="77777777" w:rsidR="004F09A9"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sz w:val="22"/>
          <w:szCs w:val="22"/>
          <w:lang w:eastAsia="en-US"/>
        </w:rPr>
        <w:t xml:space="preserve">We are hopeful that employers will accept that it is ultimately their responsibility under the law to do the right thing.  </w:t>
      </w:r>
    </w:p>
    <w:p w14:paraId="55A2866B" w14:textId="538E82B4" w:rsidR="004F09A9"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sz w:val="22"/>
          <w:szCs w:val="22"/>
          <w:lang w:eastAsia="en-US"/>
        </w:rPr>
        <w:t xml:space="preserve">They will know that the </w:t>
      </w:r>
      <w:r w:rsidR="009748EE" w:rsidRPr="00314BCC">
        <w:rPr>
          <w:rFonts w:asciiTheme="minorHAnsi" w:eastAsiaTheme="minorHAnsi" w:hAnsiTheme="minorHAnsi" w:cstheme="minorHAnsi"/>
          <w:sz w:val="22"/>
          <w:szCs w:val="22"/>
          <w:lang w:eastAsia="en-US"/>
        </w:rPr>
        <w:t>Fair Work Ombudsman</w:t>
      </w:r>
      <w:r w:rsidRPr="00314BCC">
        <w:rPr>
          <w:rFonts w:asciiTheme="minorHAnsi" w:eastAsiaTheme="minorHAnsi" w:hAnsiTheme="minorHAnsi" w:cstheme="minorHAnsi"/>
          <w:sz w:val="22"/>
          <w:szCs w:val="22"/>
          <w:lang w:eastAsia="en-US"/>
        </w:rPr>
        <w:t xml:space="preserve"> takes a dim view of deliberate, systemic, exploitative or opportunistic non-compliance and will know that </w:t>
      </w:r>
      <w:r w:rsidR="009748EE" w:rsidRPr="00314BCC">
        <w:rPr>
          <w:rFonts w:asciiTheme="minorHAnsi" w:eastAsiaTheme="minorHAnsi" w:hAnsiTheme="minorHAnsi" w:cstheme="minorHAnsi"/>
          <w:sz w:val="22"/>
          <w:szCs w:val="22"/>
          <w:lang w:eastAsia="en-US"/>
        </w:rPr>
        <w:t>we</w:t>
      </w:r>
      <w:r w:rsidRPr="00314BCC">
        <w:rPr>
          <w:rFonts w:asciiTheme="minorHAnsi" w:eastAsiaTheme="minorHAnsi" w:hAnsiTheme="minorHAnsi" w:cstheme="minorHAnsi"/>
          <w:sz w:val="22"/>
          <w:szCs w:val="22"/>
          <w:lang w:eastAsia="en-US"/>
        </w:rPr>
        <w:t xml:space="preserve"> will tackle that conduct with every tool in our enforcement toolkit</w:t>
      </w:r>
      <w:r w:rsidR="008F74F2" w:rsidRPr="00314BCC">
        <w:rPr>
          <w:rFonts w:asciiTheme="minorHAnsi" w:eastAsiaTheme="minorHAnsi" w:hAnsiTheme="minorHAnsi" w:cstheme="minorHAnsi"/>
          <w:sz w:val="22"/>
          <w:szCs w:val="22"/>
          <w:lang w:eastAsia="en-US"/>
        </w:rPr>
        <w:t>.</w:t>
      </w:r>
    </w:p>
    <w:p w14:paraId="570B9847" w14:textId="34B9D432" w:rsidR="004F09A9"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sz w:val="22"/>
          <w:szCs w:val="22"/>
          <w:lang w:eastAsia="en-US"/>
        </w:rPr>
        <w:lastRenderedPageBreak/>
        <w:t>And just like employers, we expect advisers to take their responsib</w:t>
      </w:r>
      <w:r w:rsidR="00233715" w:rsidRPr="00314BCC">
        <w:rPr>
          <w:rFonts w:asciiTheme="minorHAnsi" w:eastAsiaTheme="minorHAnsi" w:hAnsiTheme="minorHAnsi" w:cstheme="minorHAnsi"/>
          <w:sz w:val="22"/>
          <w:szCs w:val="22"/>
          <w:lang w:eastAsia="en-US"/>
        </w:rPr>
        <w:t>ilities</w:t>
      </w:r>
      <w:r w:rsidRPr="00314BCC">
        <w:rPr>
          <w:rFonts w:asciiTheme="minorHAnsi" w:eastAsiaTheme="minorHAnsi" w:hAnsiTheme="minorHAnsi" w:cstheme="minorHAnsi"/>
          <w:sz w:val="22"/>
          <w:szCs w:val="22"/>
          <w:lang w:eastAsia="en-US"/>
        </w:rPr>
        <w:t xml:space="preserve"> seriously. </w:t>
      </w:r>
    </w:p>
    <w:p w14:paraId="72DDBAB9" w14:textId="3914CDBC" w:rsidR="004F09A9"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sz w:val="22"/>
          <w:szCs w:val="22"/>
          <w:lang w:eastAsia="en-US"/>
        </w:rPr>
        <w:t xml:space="preserve">If you know that your employer or client is running two sets of books or keeping false records or not paying the employees their full entitlements, know that the new higher penalties may soon </w:t>
      </w:r>
      <w:r w:rsidR="00233715" w:rsidRPr="00314BCC">
        <w:rPr>
          <w:rFonts w:asciiTheme="minorHAnsi" w:eastAsiaTheme="minorHAnsi" w:hAnsiTheme="minorHAnsi" w:cstheme="minorHAnsi"/>
          <w:sz w:val="22"/>
          <w:szCs w:val="22"/>
          <w:lang w:eastAsia="en-US"/>
        </w:rPr>
        <w:t>extend to them…and to you.</w:t>
      </w:r>
    </w:p>
    <w:p w14:paraId="3F5150BB" w14:textId="2FCD506A" w:rsidR="004F09A9"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sz w:val="22"/>
          <w:szCs w:val="22"/>
          <w:lang w:eastAsia="en-US"/>
        </w:rPr>
        <w:t xml:space="preserve">If </w:t>
      </w:r>
      <w:r w:rsidR="008F74F2" w:rsidRPr="00314BCC">
        <w:rPr>
          <w:rFonts w:asciiTheme="minorHAnsi" w:eastAsiaTheme="minorHAnsi" w:hAnsiTheme="minorHAnsi" w:cstheme="minorHAnsi"/>
          <w:sz w:val="22"/>
          <w:szCs w:val="22"/>
          <w:lang w:eastAsia="en-US"/>
        </w:rPr>
        <w:t>someone you are advising is</w:t>
      </w:r>
      <w:r w:rsidRPr="00314BCC">
        <w:rPr>
          <w:rFonts w:asciiTheme="minorHAnsi" w:eastAsiaTheme="minorHAnsi" w:hAnsiTheme="minorHAnsi" w:cstheme="minorHAnsi"/>
          <w:sz w:val="22"/>
          <w:szCs w:val="22"/>
          <w:lang w:eastAsia="en-US"/>
        </w:rPr>
        <w:t xml:space="preserve"> breach</w:t>
      </w:r>
      <w:r w:rsidR="008F74F2" w:rsidRPr="00314BCC">
        <w:rPr>
          <w:rFonts w:asciiTheme="minorHAnsi" w:eastAsiaTheme="minorHAnsi" w:hAnsiTheme="minorHAnsi" w:cstheme="minorHAnsi"/>
          <w:sz w:val="22"/>
          <w:szCs w:val="22"/>
          <w:lang w:eastAsia="en-US"/>
        </w:rPr>
        <w:t>ing</w:t>
      </w:r>
      <w:r w:rsidRPr="00314BCC">
        <w:rPr>
          <w:rFonts w:asciiTheme="minorHAnsi" w:eastAsiaTheme="minorHAnsi" w:hAnsiTheme="minorHAnsi" w:cstheme="minorHAnsi"/>
          <w:sz w:val="22"/>
          <w:szCs w:val="22"/>
          <w:lang w:eastAsia="en-US"/>
        </w:rPr>
        <w:t xml:space="preserve"> workplace laws, call them out</w:t>
      </w:r>
      <w:r w:rsidR="00233715" w:rsidRPr="00314BCC">
        <w:rPr>
          <w:rFonts w:asciiTheme="minorHAnsi" w:eastAsiaTheme="minorHAnsi" w:hAnsiTheme="minorHAnsi" w:cstheme="minorHAnsi"/>
          <w:sz w:val="22"/>
          <w:szCs w:val="22"/>
          <w:lang w:eastAsia="en-US"/>
        </w:rPr>
        <w:t>, for their sake and yours</w:t>
      </w:r>
      <w:r w:rsidRPr="00314BCC">
        <w:rPr>
          <w:rFonts w:asciiTheme="minorHAnsi" w:eastAsiaTheme="minorHAnsi" w:hAnsiTheme="minorHAnsi" w:cstheme="minorHAnsi"/>
          <w:sz w:val="22"/>
          <w:szCs w:val="22"/>
          <w:lang w:eastAsia="en-US"/>
        </w:rPr>
        <w:t>.</w:t>
      </w:r>
      <w:r w:rsidR="00233715" w:rsidRPr="00314BCC">
        <w:rPr>
          <w:rFonts w:asciiTheme="minorHAnsi" w:eastAsiaTheme="minorHAnsi" w:hAnsiTheme="minorHAnsi" w:cstheme="minorHAnsi"/>
          <w:sz w:val="22"/>
          <w:szCs w:val="22"/>
          <w:lang w:eastAsia="en-US"/>
        </w:rPr>
        <w:t xml:space="preserve"> </w:t>
      </w:r>
    </w:p>
    <w:p w14:paraId="2D92E3A3" w14:textId="77777777" w:rsidR="004F09A9"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b/>
          <w:sz w:val="22"/>
          <w:szCs w:val="22"/>
          <w:lang w:eastAsia="en-US"/>
        </w:rPr>
        <w:t xml:space="preserve">You have a tough job as advisers. </w:t>
      </w:r>
    </w:p>
    <w:p w14:paraId="7733A58D" w14:textId="77777777" w:rsidR="004F09A9"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sz w:val="22"/>
          <w:szCs w:val="22"/>
          <w:lang w:eastAsia="en-US"/>
        </w:rPr>
        <w:t xml:space="preserve">And by working together to build a culture of compliance, </w:t>
      </w:r>
      <w:r w:rsidRPr="00314BCC">
        <w:rPr>
          <w:rFonts w:asciiTheme="minorHAnsi" w:eastAsiaTheme="minorHAnsi" w:hAnsiTheme="minorHAnsi" w:cstheme="minorHAnsi"/>
          <w:b/>
          <w:sz w:val="22"/>
          <w:szCs w:val="22"/>
          <w:lang w:eastAsia="en-US"/>
        </w:rPr>
        <w:t>we will make your job easier</w:t>
      </w:r>
      <w:r w:rsidRPr="00314BCC">
        <w:rPr>
          <w:rFonts w:asciiTheme="minorHAnsi" w:eastAsiaTheme="minorHAnsi" w:hAnsiTheme="minorHAnsi" w:cstheme="minorHAnsi"/>
          <w:sz w:val="22"/>
          <w:szCs w:val="22"/>
          <w:lang w:eastAsia="en-US"/>
        </w:rPr>
        <w:t xml:space="preserve">. </w:t>
      </w:r>
    </w:p>
    <w:p w14:paraId="1362FB0D" w14:textId="0A3DB239" w:rsidR="004F09A9" w:rsidRPr="00314BCC" w:rsidRDefault="004F09A9" w:rsidP="004F09A9">
      <w:pPr>
        <w:spacing w:after="320" w:line="360" w:lineRule="auto"/>
        <w:rPr>
          <w:rFonts w:asciiTheme="minorHAnsi" w:eastAsiaTheme="minorHAnsi" w:hAnsiTheme="minorHAnsi" w:cstheme="minorHAnsi"/>
          <w:sz w:val="22"/>
          <w:szCs w:val="22"/>
          <w:lang w:eastAsia="en-US"/>
        </w:rPr>
      </w:pPr>
      <w:r w:rsidRPr="00314BCC">
        <w:rPr>
          <w:rFonts w:asciiTheme="minorHAnsi" w:eastAsiaTheme="minorHAnsi" w:hAnsiTheme="minorHAnsi" w:cstheme="minorHAnsi"/>
          <w:sz w:val="22"/>
          <w:szCs w:val="22"/>
          <w:lang w:eastAsia="en-US"/>
        </w:rPr>
        <w:t xml:space="preserve">By being a member of a professional organisation – such as AHRI – you are taking </w:t>
      </w:r>
      <w:r w:rsidR="008F74F2" w:rsidRPr="00314BCC">
        <w:rPr>
          <w:rFonts w:asciiTheme="minorHAnsi" w:eastAsiaTheme="minorHAnsi" w:hAnsiTheme="minorHAnsi" w:cstheme="minorHAnsi"/>
          <w:sz w:val="22"/>
          <w:szCs w:val="22"/>
          <w:lang w:eastAsia="en-US"/>
        </w:rPr>
        <w:t xml:space="preserve">your professional responsibilities seriously. Taking </w:t>
      </w:r>
      <w:r w:rsidRPr="00314BCC">
        <w:rPr>
          <w:rFonts w:asciiTheme="minorHAnsi" w:eastAsiaTheme="minorHAnsi" w:hAnsiTheme="minorHAnsi" w:cstheme="minorHAnsi"/>
          <w:sz w:val="22"/>
          <w:szCs w:val="22"/>
          <w:lang w:eastAsia="en-US"/>
        </w:rPr>
        <w:t xml:space="preserve">steps to </w:t>
      </w:r>
      <w:r w:rsidR="008F74F2" w:rsidRPr="00314BCC">
        <w:rPr>
          <w:rFonts w:asciiTheme="minorHAnsi" w:eastAsiaTheme="minorHAnsi" w:hAnsiTheme="minorHAnsi" w:cstheme="minorHAnsi"/>
          <w:sz w:val="22"/>
          <w:szCs w:val="22"/>
          <w:lang w:eastAsia="en-US"/>
        </w:rPr>
        <w:t xml:space="preserve">ensure </w:t>
      </w:r>
      <w:r w:rsidRPr="00314BCC">
        <w:rPr>
          <w:rFonts w:asciiTheme="minorHAnsi" w:eastAsiaTheme="minorHAnsi" w:hAnsiTheme="minorHAnsi" w:cstheme="minorHAnsi"/>
          <w:sz w:val="22"/>
          <w:szCs w:val="22"/>
          <w:lang w:eastAsia="en-US"/>
        </w:rPr>
        <w:t xml:space="preserve">the businesses </w:t>
      </w:r>
      <w:r w:rsidR="008F74F2" w:rsidRPr="00314BCC">
        <w:rPr>
          <w:rFonts w:asciiTheme="minorHAnsi" w:eastAsiaTheme="minorHAnsi" w:hAnsiTheme="minorHAnsi" w:cstheme="minorHAnsi"/>
          <w:sz w:val="22"/>
          <w:szCs w:val="22"/>
          <w:lang w:eastAsia="en-US"/>
        </w:rPr>
        <w:t xml:space="preserve">you </w:t>
      </w:r>
      <w:r w:rsidR="00233715" w:rsidRPr="00314BCC">
        <w:rPr>
          <w:rFonts w:asciiTheme="minorHAnsi" w:eastAsiaTheme="minorHAnsi" w:hAnsiTheme="minorHAnsi" w:cstheme="minorHAnsi"/>
          <w:sz w:val="22"/>
          <w:szCs w:val="22"/>
          <w:lang w:eastAsia="en-US"/>
        </w:rPr>
        <w:t>advise</w:t>
      </w:r>
      <w:r w:rsidR="008F74F2" w:rsidRPr="00314BCC">
        <w:rPr>
          <w:rFonts w:asciiTheme="minorHAnsi" w:eastAsiaTheme="minorHAnsi" w:hAnsiTheme="minorHAnsi" w:cstheme="minorHAnsi"/>
          <w:sz w:val="22"/>
          <w:szCs w:val="22"/>
          <w:lang w:eastAsia="en-US"/>
        </w:rPr>
        <w:t xml:space="preserve"> </w:t>
      </w:r>
      <w:r w:rsidR="00233715" w:rsidRPr="00314BCC">
        <w:rPr>
          <w:rFonts w:asciiTheme="minorHAnsi" w:eastAsiaTheme="minorHAnsi" w:hAnsiTheme="minorHAnsi" w:cstheme="minorHAnsi"/>
          <w:sz w:val="22"/>
          <w:szCs w:val="22"/>
          <w:lang w:eastAsia="en-US"/>
        </w:rPr>
        <w:t>stay</w:t>
      </w:r>
      <w:r w:rsidR="008F74F2" w:rsidRPr="00314BCC">
        <w:rPr>
          <w:rFonts w:asciiTheme="minorHAnsi" w:eastAsiaTheme="minorHAnsi" w:hAnsiTheme="minorHAnsi" w:cstheme="minorHAnsi"/>
          <w:sz w:val="22"/>
          <w:szCs w:val="22"/>
          <w:lang w:eastAsia="en-US"/>
        </w:rPr>
        <w:t xml:space="preserve"> </w:t>
      </w:r>
      <w:r w:rsidRPr="00314BCC">
        <w:rPr>
          <w:rFonts w:asciiTheme="minorHAnsi" w:eastAsiaTheme="minorHAnsi" w:hAnsiTheme="minorHAnsi" w:cstheme="minorHAnsi"/>
          <w:sz w:val="22"/>
          <w:szCs w:val="22"/>
          <w:lang w:eastAsia="en-US"/>
        </w:rPr>
        <w:t>out of the s</w:t>
      </w:r>
      <w:r w:rsidR="00710983" w:rsidRPr="00314BCC">
        <w:rPr>
          <w:rFonts w:asciiTheme="minorHAnsi" w:eastAsiaTheme="minorHAnsi" w:hAnsiTheme="minorHAnsi" w:cstheme="minorHAnsi"/>
          <w:sz w:val="22"/>
          <w:szCs w:val="22"/>
          <w:lang w:eastAsia="en-US"/>
        </w:rPr>
        <w:t>potlight for the wrong reasons.</w:t>
      </w:r>
      <w:r w:rsidRPr="00314BCC">
        <w:rPr>
          <w:rFonts w:asciiTheme="minorHAnsi" w:eastAsiaTheme="minorHAnsi" w:hAnsiTheme="minorHAnsi" w:cstheme="minorHAnsi"/>
          <w:sz w:val="22"/>
          <w:szCs w:val="22"/>
          <w:lang w:eastAsia="en-US"/>
        </w:rPr>
        <w:t xml:space="preserve"> You provide them and the community with a valuable service which ultimately contributes to fairer workplaces, a level playing field and employees getting what they are entitled to.  And we applaud that service.</w:t>
      </w:r>
    </w:p>
    <w:p w14:paraId="0131F7E2" w14:textId="6AB7AC15" w:rsidR="00677682" w:rsidRPr="00314BCC" w:rsidRDefault="00677682" w:rsidP="004F09A9">
      <w:pPr>
        <w:pStyle w:val="PlainText"/>
        <w:spacing w:after="320" w:line="360" w:lineRule="auto"/>
        <w:rPr>
          <w:rFonts w:asciiTheme="minorHAnsi" w:hAnsiTheme="minorHAnsi" w:cstheme="minorHAnsi"/>
          <w:iCs/>
        </w:rPr>
      </w:pPr>
    </w:p>
    <w:sectPr w:rsidR="00677682" w:rsidRPr="00314BC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FB752" w14:textId="77777777" w:rsidR="00572282" w:rsidRDefault="00572282" w:rsidP="00EE592C">
      <w:r>
        <w:separator/>
      </w:r>
    </w:p>
  </w:endnote>
  <w:endnote w:type="continuationSeparator" w:id="0">
    <w:p w14:paraId="69B4A2D2" w14:textId="77777777" w:rsidR="00572282" w:rsidRDefault="00572282" w:rsidP="00EE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84641" w14:textId="77777777" w:rsidR="004F4605" w:rsidRDefault="004F46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DC6B4" w14:textId="11A3AD53" w:rsidR="00EE592C" w:rsidRPr="002939B5" w:rsidRDefault="002939B5" w:rsidP="002939B5">
    <w:pPr>
      <w:pStyle w:val="Footer"/>
      <w:jc w:val="center"/>
      <w:rPr>
        <w:rFonts w:asciiTheme="minorHAnsi" w:hAnsiTheme="minorHAnsi" w:cstheme="minorHAnsi"/>
        <w:sz w:val="22"/>
        <w:szCs w:val="22"/>
      </w:rPr>
    </w:pPr>
    <w:r w:rsidRPr="002939B5">
      <w:rPr>
        <w:rFonts w:asciiTheme="minorHAnsi" w:hAnsiTheme="minorHAnsi" w:cstheme="minorHAnsi"/>
        <w:b/>
        <w:sz w:val="22"/>
        <w:szCs w:val="22"/>
      </w:rPr>
      <w:fldChar w:fldCharType="begin"/>
    </w:r>
    <w:r w:rsidRPr="002939B5">
      <w:rPr>
        <w:rFonts w:asciiTheme="minorHAnsi" w:hAnsiTheme="minorHAnsi" w:cstheme="minorHAnsi"/>
        <w:b/>
        <w:sz w:val="22"/>
        <w:szCs w:val="22"/>
      </w:rPr>
      <w:instrText xml:space="preserve"> PAGE  \* Arabic  \* MERGEFORMAT </w:instrText>
    </w:r>
    <w:r w:rsidRPr="002939B5">
      <w:rPr>
        <w:rFonts w:asciiTheme="minorHAnsi" w:hAnsiTheme="minorHAnsi" w:cstheme="minorHAnsi"/>
        <w:b/>
        <w:sz w:val="22"/>
        <w:szCs w:val="22"/>
      </w:rPr>
      <w:fldChar w:fldCharType="separate"/>
    </w:r>
    <w:r w:rsidR="004F4605">
      <w:rPr>
        <w:rFonts w:asciiTheme="minorHAnsi" w:hAnsiTheme="minorHAnsi" w:cstheme="minorHAnsi"/>
        <w:b/>
        <w:noProof/>
        <w:sz w:val="22"/>
        <w:szCs w:val="22"/>
      </w:rPr>
      <w:t>10</w:t>
    </w:r>
    <w:r w:rsidRPr="002939B5">
      <w:rPr>
        <w:rFonts w:asciiTheme="minorHAnsi" w:hAnsiTheme="minorHAnsi" w:cstheme="minorHAnsi"/>
        <w:b/>
        <w:sz w:val="22"/>
        <w:szCs w:val="22"/>
      </w:rPr>
      <w:fldChar w:fldCharType="end"/>
    </w:r>
    <w:r w:rsidRPr="002939B5">
      <w:rPr>
        <w:rFonts w:asciiTheme="minorHAnsi" w:hAnsiTheme="minorHAnsi" w:cstheme="minorHAnsi"/>
        <w:sz w:val="22"/>
        <w:szCs w:val="22"/>
      </w:rPr>
      <w:t xml:space="preserve"> </w:t>
    </w:r>
    <w:r w:rsidRPr="002939B5">
      <w:rPr>
        <w:rFonts w:asciiTheme="minorHAnsi" w:hAnsiTheme="minorHAnsi" w:cstheme="minorHAnsi"/>
        <w:b/>
        <w:sz w:val="22"/>
        <w:szCs w:val="22"/>
      </w:rPr>
      <w:t>of</w:t>
    </w:r>
    <w:r w:rsidRPr="002939B5">
      <w:rPr>
        <w:rFonts w:asciiTheme="minorHAnsi" w:hAnsiTheme="minorHAnsi" w:cstheme="minorHAnsi"/>
        <w:sz w:val="22"/>
        <w:szCs w:val="22"/>
      </w:rPr>
      <w:t xml:space="preserve"> </w:t>
    </w:r>
    <w:r w:rsidRPr="002939B5">
      <w:rPr>
        <w:rFonts w:asciiTheme="minorHAnsi" w:hAnsiTheme="minorHAnsi" w:cstheme="minorHAnsi"/>
        <w:b/>
        <w:sz w:val="22"/>
        <w:szCs w:val="22"/>
      </w:rPr>
      <w:fldChar w:fldCharType="begin"/>
    </w:r>
    <w:r w:rsidRPr="002939B5">
      <w:rPr>
        <w:rFonts w:asciiTheme="minorHAnsi" w:hAnsiTheme="minorHAnsi" w:cstheme="minorHAnsi"/>
        <w:b/>
        <w:sz w:val="22"/>
        <w:szCs w:val="22"/>
      </w:rPr>
      <w:instrText xml:space="preserve"> NUMPAGES  \* Arabic  \* MERGEFORMAT </w:instrText>
    </w:r>
    <w:r w:rsidRPr="002939B5">
      <w:rPr>
        <w:rFonts w:asciiTheme="minorHAnsi" w:hAnsiTheme="minorHAnsi" w:cstheme="minorHAnsi"/>
        <w:b/>
        <w:sz w:val="22"/>
        <w:szCs w:val="22"/>
      </w:rPr>
      <w:fldChar w:fldCharType="separate"/>
    </w:r>
    <w:r w:rsidR="004F4605">
      <w:rPr>
        <w:rFonts w:asciiTheme="minorHAnsi" w:hAnsiTheme="minorHAnsi" w:cstheme="minorHAnsi"/>
        <w:b/>
        <w:noProof/>
        <w:sz w:val="22"/>
        <w:szCs w:val="22"/>
      </w:rPr>
      <w:t>12</w:t>
    </w:r>
    <w:r w:rsidRPr="002939B5">
      <w:rPr>
        <w:rFonts w:asciiTheme="minorHAnsi" w:hAnsiTheme="minorHAnsi" w:cstheme="minorHAnsi"/>
        <w:b/>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F7519" w14:textId="77777777" w:rsidR="004F4605" w:rsidRDefault="004F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C1CC1" w14:textId="77777777" w:rsidR="00572282" w:rsidRDefault="00572282" w:rsidP="00EE592C">
      <w:r>
        <w:separator/>
      </w:r>
    </w:p>
  </w:footnote>
  <w:footnote w:type="continuationSeparator" w:id="0">
    <w:p w14:paraId="02AA56E4" w14:textId="77777777" w:rsidR="00572282" w:rsidRDefault="00572282" w:rsidP="00EE592C">
      <w:r>
        <w:continuationSeparator/>
      </w:r>
    </w:p>
  </w:footnote>
  <w:footnote w:id="1">
    <w:p w14:paraId="3C35A9F0" w14:textId="3157B2A4" w:rsidR="006D1E0D" w:rsidRDefault="006D1E0D">
      <w:pPr>
        <w:pStyle w:val="FootnoteText"/>
      </w:pPr>
      <w:r>
        <w:rPr>
          <w:rStyle w:val="FootnoteReference"/>
        </w:rPr>
        <w:footnoteRef/>
      </w:r>
      <w:r>
        <w:t xml:space="preserve"> </w:t>
      </w:r>
      <w:r>
        <w:rPr>
          <w:i/>
        </w:rPr>
        <w:t xml:space="preserve">Fair Work Ombudsman v Step Ahead Security Services Pty Ltd &amp; Anor </w:t>
      </w:r>
      <w:r>
        <w:t>[2016] FCCA 1482.</w:t>
      </w:r>
    </w:p>
  </w:footnote>
  <w:footnote w:id="2">
    <w:p w14:paraId="1B97E328" w14:textId="2C56AD6B" w:rsidR="00A954B5" w:rsidRDefault="00A954B5">
      <w:pPr>
        <w:pStyle w:val="FootnoteText"/>
      </w:pPr>
      <w:r>
        <w:rPr>
          <w:rStyle w:val="FootnoteReference"/>
        </w:rPr>
        <w:footnoteRef/>
      </w:r>
      <w:r>
        <w:t xml:space="preserve"> </w:t>
      </w:r>
      <w:r w:rsidRPr="00A954B5">
        <w:t xml:space="preserve">Eg. </w:t>
      </w:r>
      <w:r w:rsidRPr="00A954B5">
        <w:rPr>
          <w:i/>
        </w:rPr>
        <w:t>Fair Work Ombudsman v Centennial Financial Services Pty Ltd &amp; Ors</w:t>
      </w:r>
      <w:r w:rsidRPr="00A954B5">
        <w:t xml:space="preserve"> [2011] FMCA 459.</w:t>
      </w:r>
    </w:p>
  </w:footnote>
  <w:footnote w:id="3">
    <w:p w14:paraId="223D1467" w14:textId="77777777" w:rsidR="00CC2CEF" w:rsidRDefault="00CC2CEF" w:rsidP="00CC2CEF">
      <w:pPr>
        <w:pStyle w:val="FootnoteText"/>
      </w:pPr>
      <w:r>
        <w:rPr>
          <w:rStyle w:val="FootnoteReference"/>
        </w:rPr>
        <w:footnoteRef/>
      </w:r>
      <w:r>
        <w:t xml:space="preserve"> </w:t>
      </w:r>
      <w:r w:rsidRPr="001B4208">
        <w:rPr>
          <w:i/>
        </w:rPr>
        <w:t>Fair Work Ombudsman v Ross Geri Pty Ltd</w:t>
      </w:r>
      <w:r>
        <w:rPr>
          <w:i/>
        </w:rPr>
        <w:t xml:space="preserve"> &amp; Ors</w:t>
      </w:r>
      <w:r>
        <w:t xml:space="preserve"> [2014] FCCA 969; </w:t>
      </w:r>
      <w:r w:rsidRPr="001B4208">
        <w:rPr>
          <w:i/>
        </w:rPr>
        <w:t>Fair Work Ombudsman v Liquid Fuel Pty Ltd &amp; Ors</w:t>
      </w:r>
      <w:r>
        <w:rPr>
          <w:i/>
        </w:rPr>
        <w:t xml:space="preserve"> </w:t>
      </w:r>
      <w:r>
        <w:t>[2015] FCCA 3139.</w:t>
      </w:r>
    </w:p>
  </w:footnote>
  <w:footnote w:id="4">
    <w:p w14:paraId="290D5754" w14:textId="77777777" w:rsidR="00CC2CEF" w:rsidRDefault="00CC2CEF" w:rsidP="00CC2CEF">
      <w:pPr>
        <w:pStyle w:val="FootnoteText"/>
      </w:pPr>
      <w:r>
        <w:rPr>
          <w:rStyle w:val="FootnoteReference"/>
        </w:rPr>
        <w:footnoteRef/>
      </w:r>
      <w:r>
        <w:t xml:space="preserve"> </w:t>
      </w:r>
      <w:r w:rsidRPr="001B4208">
        <w:rPr>
          <w:i/>
        </w:rPr>
        <w:t>Fair Work Ombudsman v Jay Group Services Pty Ltd &amp; Ors</w:t>
      </w:r>
      <w:r>
        <w:t xml:space="preserve"> [2014] FCCA 2869. </w:t>
      </w:r>
    </w:p>
  </w:footnote>
  <w:footnote w:id="5">
    <w:p w14:paraId="2E243616" w14:textId="7C07C696" w:rsidR="00CC2CEF" w:rsidRDefault="00CC2CEF" w:rsidP="00CC2CEF">
      <w:pPr>
        <w:pStyle w:val="FootnoteText"/>
      </w:pPr>
      <w:r>
        <w:rPr>
          <w:rStyle w:val="FootnoteReference"/>
        </w:rPr>
        <w:footnoteRef/>
      </w:r>
      <w:r>
        <w:t xml:space="preserve"> </w:t>
      </w:r>
      <w:r w:rsidRPr="001B4208">
        <w:rPr>
          <w:i/>
        </w:rPr>
        <w:t>Fair Work Ombudsman v GRI Global Pty Ltd (in Liquidation) and Security International Services Pty Ltd</w:t>
      </w:r>
      <w:r w:rsidR="001D41F9">
        <w:t xml:space="preserve"> </w:t>
      </w:r>
      <w:r w:rsidR="001D41F9" w:rsidRPr="001B4208">
        <w:t>(FCCA BRG1151/2014) Jarrett J 17 November 2015 (delivered ex tempore)</w:t>
      </w:r>
      <w:r>
        <w:t xml:space="preserve">; </w:t>
      </w:r>
      <w:r w:rsidRPr="001B4208">
        <w:rPr>
          <w:i/>
        </w:rPr>
        <w:t xml:space="preserve">Fair Work Ombudsman v Al Hilfi </w:t>
      </w:r>
      <w:r>
        <w:t xml:space="preserve">[2016] FCA 193 </w:t>
      </w:r>
    </w:p>
  </w:footnote>
  <w:footnote w:id="6">
    <w:p w14:paraId="028149FD" w14:textId="39114119" w:rsidR="00027750" w:rsidRDefault="00027750">
      <w:pPr>
        <w:pStyle w:val="FootnoteText"/>
      </w:pPr>
      <w:r>
        <w:rPr>
          <w:rStyle w:val="FootnoteReference"/>
        </w:rPr>
        <w:footnoteRef/>
      </w:r>
      <w:r>
        <w:t xml:space="preserve"> </w:t>
      </w:r>
      <w:r w:rsidR="00995CB1" w:rsidRPr="00995CB1">
        <w:rPr>
          <w:i/>
        </w:rPr>
        <w:t>FWO v James Nelson Pty Ltd &amp; Anor</w:t>
      </w:r>
      <w:r w:rsidR="00995CB1" w:rsidRPr="00995CB1">
        <w:t xml:space="preserve"> [2016] FCCA 531 (17 March 2016)</w:t>
      </w:r>
      <w:r w:rsidR="00995CB1">
        <w:t xml:space="preserve">; </w:t>
      </w:r>
      <w:r w:rsidR="00995CB1" w:rsidRPr="00995CB1">
        <w:rPr>
          <w:i/>
        </w:rPr>
        <w:t>FWO v Step Ahead Security Services Pty Ltd &amp; Anor</w:t>
      </w:r>
      <w:r w:rsidR="00995CB1" w:rsidRPr="00995CB1">
        <w:t xml:space="preserve"> [2016] FCCA 1482 (17 June 2016)</w:t>
      </w:r>
      <w:r w:rsidR="00995CB1">
        <w:t xml:space="preserve">; </w:t>
      </w:r>
      <w:r w:rsidR="00995CB1" w:rsidRPr="00995CB1">
        <w:t xml:space="preserve"> </w:t>
      </w:r>
      <w:r w:rsidR="00283B3C" w:rsidRPr="00283B3C">
        <w:rPr>
          <w:i/>
        </w:rPr>
        <w:t>FWO v AIMG BQ Pty Ltd &amp; Anor</w:t>
      </w:r>
      <w:r w:rsidR="00283B3C" w:rsidRPr="00283B3C">
        <w:t xml:space="preserve"> [2016] FCCA 1024 (31 May 2016)</w:t>
      </w:r>
    </w:p>
  </w:footnote>
  <w:footnote w:id="7">
    <w:p w14:paraId="5A3FC25A" w14:textId="77777777" w:rsidR="000A483C" w:rsidRDefault="000A483C" w:rsidP="000A483C">
      <w:pPr>
        <w:pStyle w:val="FootnoteText"/>
      </w:pPr>
      <w:r>
        <w:rPr>
          <w:rStyle w:val="FootnoteReference"/>
        </w:rPr>
        <w:footnoteRef/>
      </w:r>
      <w:r>
        <w:t xml:space="preserve"> </w:t>
      </w:r>
      <w:r w:rsidRPr="009748EE">
        <w:rPr>
          <w:i/>
        </w:rPr>
        <w:t xml:space="preserve">Fair Work Ombudsman v South Jin Pty Ltd </w:t>
      </w:r>
      <w:r w:rsidRPr="00027750">
        <w:t>(No 2) [2016]</w:t>
      </w:r>
      <w:r w:rsidRPr="009748EE">
        <w:rPr>
          <w:i/>
        </w:rPr>
        <w:t xml:space="preserve"> </w:t>
      </w:r>
      <w:r w:rsidRPr="00027750">
        <w:t>FCA 832</w:t>
      </w:r>
    </w:p>
  </w:footnote>
  <w:footnote w:id="8">
    <w:p w14:paraId="62FA74A3" w14:textId="2264D944" w:rsidR="002267A5" w:rsidRPr="00027750" w:rsidRDefault="002267A5" w:rsidP="00027750">
      <w:pPr>
        <w:pStyle w:val="Heading8"/>
        <w:rPr>
          <w:b w:val="0"/>
          <w:bCs w:val="0"/>
        </w:rPr>
      </w:pPr>
      <w:r w:rsidRPr="008040B8">
        <w:rPr>
          <w:rStyle w:val="FootnoteReference"/>
          <w:b w:val="0"/>
        </w:rPr>
        <w:footnoteRef/>
      </w:r>
      <w:r w:rsidRPr="008040B8">
        <w:rPr>
          <w:b w:val="0"/>
        </w:rPr>
        <w:t xml:space="preserve"> </w:t>
      </w:r>
      <w:r w:rsidR="00027750" w:rsidRPr="008040B8">
        <w:rPr>
          <w:b w:val="0"/>
          <w:bCs w:val="0"/>
          <w:i/>
          <w:iCs/>
          <w:sz w:val="20"/>
          <w:szCs w:val="20"/>
        </w:rPr>
        <w:t>Fair</w:t>
      </w:r>
      <w:r w:rsidR="00027750" w:rsidRPr="001B4208">
        <w:rPr>
          <w:b w:val="0"/>
          <w:bCs w:val="0"/>
          <w:i/>
          <w:iCs/>
          <w:sz w:val="20"/>
          <w:szCs w:val="20"/>
        </w:rPr>
        <w:t xml:space="preserve"> Work Ombudsman v GRI Global Pty Ltd &amp; Anor</w:t>
      </w:r>
      <w:r w:rsidR="00027750" w:rsidRPr="001B4208">
        <w:rPr>
          <w:b w:val="0"/>
          <w:bCs w:val="0"/>
          <w:sz w:val="20"/>
          <w:szCs w:val="20"/>
        </w:rPr>
        <w:t xml:space="preserve"> (FCCA BRG1151/2014) Jarrett J 17 November 2015 (delivered ex tempore)</w:t>
      </w:r>
      <w:r w:rsidR="001D41F9">
        <w:rPr>
          <w:b w:val="0"/>
          <w:bCs w:val="0"/>
          <w:sz w:val="20"/>
          <w:szCs w:val="20"/>
        </w:rPr>
        <w:t xml:space="preserve">; </w:t>
      </w:r>
      <w:r w:rsidR="001D41F9" w:rsidRPr="001D41F9">
        <w:rPr>
          <w:b w:val="0"/>
          <w:bCs w:val="0"/>
          <w:i/>
          <w:sz w:val="20"/>
          <w:szCs w:val="20"/>
        </w:rPr>
        <w:t xml:space="preserve">Fair Work Ombudsman v Al Hilfi </w:t>
      </w:r>
      <w:r w:rsidR="001D41F9" w:rsidRPr="001D41F9">
        <w:rPr>
          <w:b w:val="0"/>
          <w:bCs w:val="0"/>
          <w:sz w:val="20"/>
          <w:szCs w:val="20"/>
        </w:rPr>
        <w:t xml:space="preserve">[2016] FCA 193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9DD86" w14:textId="77777777" w:rsidR="004F4605" w:rsidRDefault="004F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709D8" w14:textId="77777777" w:rsidR="004F4605" w:rsidRDefault="004F46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A5794" w14:textId="77777777" w:rsidR="004F4605" w:rsidRDefault="004F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D85"/>
    <w:multiLevelType w:val="hybridMultilevel"/>
    <w:tmpl w:val="46189E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6E97817"/>
    <w:multiLevelType w:val="multilevel"/>
    <w:tmpl w:val="AC4458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0C362F"/>
    <w:multiLevelType w:val="hybridMultilevel"/>
    <w:tmpl w:val="EAB6F7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nsid w:val="74C86B2B"/>
    <w:multiLevelType w:val="hybridMultilevel"/>
    <w:tmpl w:val="5C0ED7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87E"/>
    <w:rsid w:val="00012BF0"/>
    <w:rsid w:val="00026B27"/>
    <w:rsid w:val="00027750"/>
    <w:rsid w:val="00037A7A"/>
    <w:rsid w:val="00042EF0"/>
    <w:rsid w:val="00046B6E"/>
    <w:rsid w:val="00066F47"/>
    <w:rsid w:val="000933FC"/>
    <w:rsid w:val="00093C49"/>
    <w:rsid w:val="000A291F"/>
    <w:rsid w:val="000A483C"/>
    <w:rsid w:val="000D5496"/>
    <w:rsid w:val="000D78DE"/>
    <w:rsid w:val="001263E2"/>
    <w:rsid w:val="00134E90"/>
    <w:rsid w:val="0015348A"/>
    <w:rsid w:val="00170648"/>
    <w:rsid w:val="00174AA0"/>
    <w:rsid w:val="00192FCC"/>
    <w:rsid w:val="0019349F"/>
    <w:rsid w:val="00196C36"/>
    <w:rsid w:val="001C6DFF"/>
    <w:rsid w:val="001C77E6"/>
    <w:rsid w:val="001D41F9"/>
    <w:rsid w:val="001D4ACA"/>
    <w:rsid w:val="001E3894"/>
    <w:rsid w:val="001E7802"/>
    <w:rsid w:val="002148BF"/>
    <w:rsid w:val="002169BF"/>
    <w:rsid w:val="0022460E"/>
    <w:rsid w:val="002267A5"/>
    <w:rsid w:val="00231798"/>
    <w:rsid w:val="00233715"/>
    <w:rsid w:val="0023574F"/>
    <w:rsid w:val="00247EDF"/>
    <w:rsid w:val="0025029D"/>
    <w:rsid w:val="00264773"/>
    <w:rsid w:val="00283B3C"/>
    <w:rsid w:val="0028668C"/>
    <w:rsid w:val="002908B5"/>
    <w:rsid w:val="002939B5"/>
    <w:rsid w:val="002979BE"/>
    <w:rsid w:val="002A5FB6"/>
    <w:rsid w:val="002C1016"/>
    <w:rsid w:val="002D2839"/>
    <w:rsid w:val="00300D21"/>
    <w:rsid w:val="00314BCC"/>
    <w:rsid w:val="00315262"/>
    <w:rsid w:val="003168B8"/>
    <w:rsid w:val="00321519"/>
    <w:rsid w:val="0032623C"/>
    <w:rsid w:val="00343694"/>
    <w:rsid w:val="003437F6"/>
    <w:rsid w:val="00347BC8"/>
    <w:rsid w:val="00362B5C"/>
    <w:rsid w:val="00372A2A"/>
    <w:rsid w:val="003A1296"/>
    <w:rsid w:val="003B2098"/>
    <w:rsid w:val="003B54FF"/>
    <w:rsid w:val="003C59E7"/>
    <w:rsid w:val="003E5C64"/>
    <w:rsid w:val="003E7139"/>
    <w:rsid w:val="003F27FF"/>
    <w:rsid w:val="00401EE7"/>
    <w:rsid w:val="00403DEE"/>
    <w:rsid w:val="00404B00"/>
    <w:rsid w:val="0041410B"/>
    <w:rsid w:val="00435625"/>
    <w:rsid w:val="004441E6"/>
    <w:rsid w:val="00445C92"/>
    <w:rsid w:val="004754BC"/>
    <w:rsid w:val="00484843"/>
    <w:rsid w:val="004C0907"/>
    <w:rsid w:val="004D4269"/>
    <w:rsid w:val="004E686C"/>
    <w:rsid w:val="004F09A9"/>
    <w:rsid w:val="004F4605"/>
    <w:rsid w:val="005022DC"/>
    <w:rsid w:val="00504260"/>
    <w:rsid w:val="00506560"/>
    <w:rsid w:val="00512D13"/>
    <w:rsid w:val="00532D7A"/>
    <w:rsid w:val="0053504F"/>
    <w:rsid w:val="00567707"/>
    <w:rsid w:val="00572282"/>
    <w:rsid w:val="00593D3C"/>
    <w:rsid w:val="005E3392"/>
    <w:rsid w:val="0061529E"/>
    <w:rsid w:val="006239D8"/>
    <w:rsid w:val="00631D89"/>
    <w:rsid w:val="0064195A"/>
    <w:rsid w:val="00642E79"/>
    <w:rsid w:val="00651557"/>
    <w:rsid w:val="00654DE2"/>
    <w:rsid w:val="0066204A"/>
    <w:rsid w:val="00666737"/>
    <w:rsid w:val="006758C1"/>
    <w:rsid w:val="00677682"/>
    <w:rsid w:val="006A4C9A"/>
    <w:rsid w:val="006B716E"/>
    <w:rsid w:val="006D1E0D"/>
    <w:rsid w:val="006D4D01"/>
    <w:rsid w:val="006E5526"/>
    <w:rsid w:val="00703CC6"/>
    <w:rsid w:val="00707B13"/>
    <w:rsid w:val="00710983"/>
    <w:rsid w:val="00713906"/>
    <w:rsid w:val="0073583D"/>
    <w:rsid w:val="00736110"/>
    <w:rsid w:val="00741EEE"/>
    <w:rsid w:val="007743C3"/>
    <w:rsid w:val="007A224C"/>
    <w:rsid w:val="007B6CBD"/>
    <w:rsid w:val="007C6E40"/>
    <w:rsid w:val="007E1784"/>
    <w:rsid w:val="007E7AB9"/>
    <w:rsid w:val="007F57E3"/>
    <w:rsid w:val="008040B8"/>
    <w:rsid w:val="00805EDD"/>
    <w:rsid w:val="00813B85"/>
    <w:rsid w:val="008145FA"/>
    <w:rsid w:val="00823C68"/>
    <w:rsid w:val="0083194A"/>
    <w:rsid w:val="008636E5"/>
    <w:rsid w:val="00876CA6"/>
    <w:rsid w:val="00881F3E"/>
    <w:rsid w:val="00890051"/>
    <w:rsid w:val="008A587E"/>
    <w:rsid w:val="008A6272"/>
    <w:rsid w:val="008B3F00"/>
    <w:rsid w:val="008C7B60"/>
    <w:rsid w:val="008E5CD1"/>
    <w:rsid w:val="008F74F2"/>
    <w:rsid w:val="00900A7D"/>
    <w:rsid w:val="00910D67"/>
    <w:rsid w:val="00931B81"/>
    <w:rsid w:val="009452E4"/>
    <w:rsid w:val="00967C86"/>
    <w:rsid w:val="009703D6"/>
    <w:rsid w:val="009748EE"/>
    <w:rsid w:val="00990A4F"/>
    <w:rsid w:val="00993D65"/>
    <w:rsid w:val="00995CB1"/>
    <w:rsid w:val="009A50F1"/>
    <w:rsid w:val="009A7E86"/>
    <w:rsid w:val="009C4638"/>
    <w:rsid w:val="009C7C3C"/>
    <w:rsid w:val="00A03678"/>
    <w:rsid w:val="00A23A2E"/>
    <w:rsid w:val="00A45583"/>
    <w:rsid w:val="00A47827"/>
    <w:rsid w:val="00A66C56"/>
    <w:rsid w:val="00A66F65"/>
    <w:rsid w:val="00A66F8A"/>
    <w:rsid w:val="00A77922"/>
    <w:rsid w:val="00A87925"/>
    <w:rsid w:val="00A9225D"/>
    <w:rsid w:val="00A93D2D"/>
    <w:rsid w:val="00A954B5"/>
    <w:rsid w:val="00A963D4"/>
    <w:rsid w:val="00AA37D7"/>
    <w:rsid w:val="00AA7F2E"/>
    <w:rsid w:val="00AB655F"/>
    <w:rsid w:val="00AB7F12"/>
    <w:rsid w:val="00AC2F75"/>
    <w:rsid w:val="00AC54A8"/>
    <w:rsid w:val="00AC65E5"/>
    <w:rsid w:val="00AE2EA2"/>
    <w:rsid w:val="00AE4F2C"/>
    <w:rsid w:val="00AE536C"/>
    <w:rsid w:val="00AF614E"/>
    <w:rsid w:val="00B04C23"/>
    <w:rsid w:val="00B1134D"/>
    <w:rsid w:val="00B162C4"/>
    <w:rsid w:val="00B2644E"/>
    <w:rsid w:val="00B479B1"/>
    <w:rsid w:val="00B56FDC"/>
    <w:rsid w:val="00B66D02"/>
    <w:rsid w:val="00B67440"/>
    <w:rsid w:val="00B72048"/>
    <w:rsid w:val="00B80994"/>
    <w:rsid w:val="00BD6D7B"/>
    <w:rsid w:val="00C23C49"/>
    <w:rsid w:val="00C372B2"/>
    <w:rsid w:val="00C45804"/>
    <w:rsid w:val="00C47E3C"/>
    <w:rsid w:val="00C5001E"/>
    <w:rsid w:val="00C62F1D"/>
    <w:rsid w:val="00C65990"/>
    <w:rsid w:val="00C702C0"/>
    <w:rsid w:val="00C7716F"/>
    <w:rsid w:val="00C90712"/>
    <w:rsid w:val="00CA0436"/>
    <w:rsid w:val="00CA5178"/>
    <w:rsid w:val="00CB78F9"/>
    <w:rsid w:val="00CC2CEF"/>
    <w:rsid w:val="00CF352F"/>
    <w:rsid w:val="00D07029"/>
    <w:rsid w:val="00D171BF"/>
    <w:rsid w:val="00D25DA9"/>
    <w:rsid w:val="00D4211B"/>
    <w:rsid w:val="00D80F0D"/>
    <w:rsid w:val="00D977FA"/>
    <w:rsid w:val="00DC205C"/>
    <w:rsid w:val="00DC3A87"/>
    <w:rsid w:val="00DC5FC1"/>
    <w:rsid w:val="00DC7995"/>
    <w:rsid w:val="00DE56C7"/>
    <w:rsid w:val="00DF1C83"/>
    <w:rsid w:val="00DF3C1A"/>
    <w:rsid w:val="00DF54E0"/>
    <w:rsid w:val="00DF7504"/>
    <w:rsid w:val="00E12AD2"/>
    <w:rsid w:val="00E153EF"/>
    <w:rsid w:val="00E16F75"/>
    <w:rsid w:val="00E276AF"/>
    <w:rsid w:val="00E30753"/>
    <w:rsid w:val="00E45408"/>
    <w:rsid w:val="00E5261B"/>
    <w:rsid w:val="00E60E0B"/>
    <w:rsid w:val="00E7056D"/>
    <w:rsid w:val="00E747A6"/>
    <w:rsid w:val="00E922F0"/>
    <w:rsid w:val="00E973FB"/>
    <w:rsid w:val="00EA4102"/>
    <w:rsid w:val="00EB115D"/>
    <w:rsid w:val="00EB3D6F"/>
    <w:rsid w:val="00ED3D57"/>
    <w:rsid w:val="00EE592C"/>
    <w:rsid w:val="00F0595D"/>
    <w:rsid w:val="00F05980"/>
    <w:rsid w:val="00F07394"/>
    <w:rsid w:val="00F07E86"/>
    <w:rsid w:val="00F126B5"/>
    <w:rsid w:val="00F34122"/>
    <w:rsid w:val="00F34FC8"/>
    <w:rsid w:val="00F47FB9"/>
    <w:rsid w:val="00F51D97"/>
    <w:rsid w:val="00F52C5C"/>
    <w:rsid w:val="00F53CD4"/>
    <w:rsid w:val="00F5432A"/>
    <w:rsid w:val="00F545ED"/>
    <w:rsid w:val="00F57ADD"/>
    <w:rsid w:val="00F603DE"/>
    <w:rsid w:val="00F76CAA"/>
    <w:rsid w:val="00F8438F"/>
    <w:rsid w:val="00F84D7F"/>
    <w:rsid w:val="00FA4D64"/>
    <w:rsid w:val="00FD06C5"/>
    <w:rsid w:val="00FF734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0D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7E"/>
    <w:pPr>
      <w:spacing w:after="0" w:line="240" w:lineRule="auto"/>
    </w:pPr>
    <w:rPr>
      <w:rFonts w:ascii="Times New Roman" w:eastAsia="Times New Roman" w:hAnsi="Times New Roman" w:cs="Times New Roman"/>
      <w:sz w:val="24"/>
      <w:szCs w:val="24"/>
      <w:lang w:eastAsia="en-AU"/>
    </w:rPr>
  </w:style>
  <w:style w:type="paragraph" w:styleId="Heading8">
    <w:name w:val="heading 8"/>
    <w:basedOn w:val="Normal"/>
    <w:link w:val="Heading8Char"/>
    <w:uiPriority w:val="9"/>
    <w:unhideWhenUsed/>
    <w:qFormat/>
    <w:rsid w:val="00027750"/>
    <w:pPr>
      <w:keepNext/>
      <w:outlineLvl w:val="7"/>
    </w:pPr>
    <w:rPr>
      <w:rFonts w:eastAsiaTheme="min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587E"/>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8A587E"/>
    <w:rPr>
      <w:rFonts w:ascii="Calibri" w:hAnsi="Calibri" w:cs="Times New Roman"/>
    </w:rPr>
  </w:style>
  <w:style w:type="paragraph" w:styleId="NormalWeb">
    <w:name w:val="Normal (Web)"/>
    <w:basedOn w:val="Normal"/>
    <w:uiPriority w:val="99"/>
    <w:unhideWhenUsed/>
    <w:rsid w:val="00EB3D6F"/>
    <w:pPr>
      <w:spacing w:before="100" w:beforeAutospacing="1" w:after="100" w:afterAutospacing="1"/>
    </w:p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7E7AB9"/>
    <w:pPr>
      <w:ind w:left="720"/>
      <w:contextualSpacing/>
    </w:pPr>
  </w:style>
  <w:style w:type="character" w:styleId="Strong">
    <w:name w:val="Strong"/>
    <w:basedOn w:val="DefaultParagraphFont"/>
    <w:uiPriority w:val="22"/>
    <w:qFormat/>
    <w:rsid w:val="00E5261B"/>
    <w:rPr>
      <w:b/>
      <w:bCs/>
    </w:rPr>
  </w:style>
  <w:style w:type="paragraph" w:styleId="Header">
    <w:name w:val="header"/>
    <w:basedOn w:val="Normal"/>
    <w:link w:val="HeaderChar"/>
    <w:uiPriority w:val="99"/>
    <w:unhideWhenUsed/>
    <w:rsid w:val="00EE592C"/>
    <w:pPr>
      <w:tabs>
        <w:tab w:val="center" w:pos="4513"/>
        <w:tab w:val="right" w:pos="9026"/>
      </w:tabs>
    </w:pPr>
  </w:style>
  <w:style w:type="character" w:customStyle="1" w:styleId="HeaderChar">
    <w:name w:val="Header Char"/>
    <w:basedOn w:val="DefaultParagraphFont"/>
    <w:link w:val="Header"/>
    <w:uiPriority w:val="99"/>
    <w:rsid w:val="00EE592C"/>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EE592C"/>
    <w:pPr>
      <w:tabs>
        <w:tab w:val="center" w:pos="4513"/>
        <w:tab w:val="right" w:pos="9026"/>
      </w:tabs>
    </w:pPr>
  </w:style>
  <w:style w:type="character" w:customStyle="1" w:styleId="FooterChar">
    <w:name w:val="Footer Char"/>
    <w:basedOn w:val="DefaultParagraphFont"/>
    <w:link w:val="Footer"/>
    <w:uiPriority w:val="99"/>
    <w:rsid w:val="00EE592C"/>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D2839"/>
    <w:rPr>
      <w:rFonts w:ascii="Tahoma" w:hAnsi="Tahoma" w:cs="Tahoma"/>
      <w:sz w:val="16"/>
      <w:szCs w:val="16"/>
    </w:rPr>
  </w:style>
  <w:style w:type="character" w:customStyle="1" w:styleId="BalloonTextChar">
    <w:name w:val="Balloon Text Char"/>
    <w:basedOn w:val="DefaultParagraphFont"/>
    <w:link w:val="BalloonText"/>
    <w:uiPriority w:val="99"/>
    <w:semiHidden/>
    <w:rsid w:val="002D2839"/>
    <w:rPr>
      <w:rFonts w:ascii="Tahoma" w:eastAsia="Times New Roman" w:hAnsi="Tahoma" w:cs="Tahoma"/>
      <w:sz w:val="16"/>
      <w:szCs w:val="16"/>
      <w:lang w:eastAsia="en-AU"/>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2D2839"/>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D2839"/>
    <w:rPr>
      <w:sz w:val="16"/>
      <w:szCs w:val="16"/>
    </w:rPr>
  </w:style>
  <w:style w:type="paragraph" w:styleId="CommentText">
    <w:name w:val="annotation text"/>
    <w:basedOn w:val="Normal"/>
    <w:link w:val="CommentTextChar"/>
    <w:uiPriority w:val="99"/>
    <w:semiHidden/>
    <w:unhideWhenUsed/>
    <w:rsid w:val="002D2839"/>
    <w:rPr>
      <w:sz w:val="20"/>
      <w:szCs w:val="20"/>
    </w:rPr>
  </w:style>
  <w:style w:type="character" w:customStyle="1" w:styleId="CommentTextChar">
    <w:name w:val="Comment Text Char"/>
    <w:basedOn w:val="DefaultParagraphFont"/>
    <w:link w:val="CommentText"/>
    <w:uiPriority w:val="99"/>
    <w:semiHidden/>
    <w:rsid w:val="002D283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D2839"/>
    <w:rPr>
      <w:b/>
      <w:bCs/>
    </w:rPr>
  </w:style>
  <w:style w:type="character" w:customStyle="1" w:styleId="CommentSubjectChar">
    <w:name w:val="Comment Subject Char"/>
    <w:basedOn w:val="CommentTextChar"/>
    <w:link w:val="CommentSubject"/>
    <w:uiPriority w:val="99"/>
    <w:semiHidden/>
    <w:rsid w:val="002D2839"/>
    <w:rPr>
      <w:rFonts w:ascii="Times New Roman" w:eastAsia="Times New Roman" w:hAnsi="Times New Roman" w:cs="Times New Roman"/>
      <w:b/>
      <w:bCs/>
      <w:sz w:val="20"/>
      <w:szCs w:val="20"/>
      <w:lang w:eastAsia="en-AU"/>
    </w:rPr>
  </w:style>
  <w:style w:type="table" w:styleId="TableGrid">
    <w:name w:val="Table Grid"/>
    <w:basedOn w:val="TableNormal"/>
    <w:rsid w:val="002939B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54B5"/>
    <w:rPr>
      <w:sz w:val="20"/>
      <w:szCs w:val="20"/>
    </w:rPr>
  </w:style>
  <w:style w:type="character" w:customStyle="1" w:styleId="FootnoteTextChar">
    <w:name w:val="Footnote Text Char"/>
    <w:basedOn w:val="DefaultParagraphFont"/>
    <w:link w:val="FootnoteText"/>
    <w:uiPriority w:val="99"/>
    <w:semiHidden/>
    <w:rsid w:val="00A954B5"/>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A954B5"/>
    <w:rPr>
      <w:vertAlign w:val="superscript"/>
    </w:rPr>
  </w:style>
  <w:style w:type="character" w:customStyle="1" w:styleId="Heading8Char">
    <w:name w:val="Heading 8 Char"/>
    <w:basedOn w:val="DefaultParagraphFont"/>
    <w:link w:val="Heading8"/>
    <w:uiPriority w:val="9"/>
    <w:rsid w:val="00027750"/>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7E"/>
    <w:pPr>
      <w:spacing w:after="0" w:line="240" w:lineRule="auto"/>
    </w:pPr>
    <w:rPr>
      <w:rFonts w:ascii="Times New Roman" w:eastAsia="Times New Roman" w:hAnsi="Times New Roman" w:cs="Times New Roman"/>
      <w:sz w:val="24"/>
      <w:szCs w:val="24"/>
      <w:lang w:eastAsia="en-AU"/>
    </w:rPr>
  </w:style>
  <w:style w:type="paragraph" w:styleId="Heading8">
    <w:name w:val="heading 8"/>
    <w:basedOn w:val="Normal"/>
    <w:link w:val="Heading8Char"/>
    <w:uiPriority w:val="9"/>
    <w:unhideWhenUsed/>
    <w:qFormat/>
    <w:rsid w:val="00027750"/>
    <w:pPr>
      <w:keepNext/>
      <w:outlineLvl w:val="7"/>
    </w:pPr>
    <w:rPr>
      <w:rFonts w:eastAsiaTheme="min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587E"/>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8A587E"/>
    <w:rPr>
      <w:rFonts w:ascii="Calibri" w:hAnsi="Calibri" w:cs="Times New Roman"/>
    </w:rPr>
  </w:style>
  <w:style w:type="paragraph" w:styleId="NormalWeb">
    <w:name w:val="Normal (Web)"/>
    <w:basedOn w:val="Normal"/>
    <w:uiPriority w:val="99"/>
    <w:unhideWhenUsed/>
    <w:rsid w:val="00EB3D6F"/>
    <w:pPr>
      <w:spacing w:before="100" w:beforeAutospacing="1" w:after="100" w:afterAutospacing="1"/>
    </w:p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7E7AB9"/>
    <w:pPr>
      <w:ind w:left="720"/>
      <w:contextualSpacing/>
    </w:pPr>
  </w:style>
  <w:style w:type="character" w:styleId="Strong">
    <w:name w:val="Strong"/>
    <w:basedOn w:val="DefaultParagraphFont"/>
    <w:uiPriority w:val="22"/>
    <w:qFormat/>
    <w:rsid w:val="00E5261B"/>
    <w:rPr>
      <w:b/>
      <w:bCs/>
    </w:rPr>
  </w:style>
  <w:style w:type="paragraph" w:styleId="Header">
    <w:name w:val="header"/>
    <w:basedOn w:val="Normal"/>
    <w:link w:val="HeaderChar"/>
    <w:uiPriority w:val="99"/>
    <w:unhideWhenUsed/>
    <w:rsid w:val="00EE592C"/>
    <w:pPr>
      <w:tabs>
        <w:tab w:val="center" w:pos="4513"/>
        <w:tab w:val="right" w:pos="9026"/>
      </w:tabs>
    </w:pPr>
  </w:style>
  <w:style w:type="character" w:customStyle="1" w:styleId="HeaderChar">
    <w:name w:val="Header Char"/>
    <w:basedOn w:val="DefaultParagraphFont"/>
    <w:link w:val="Header"/>
    <w:uiPriority w:val="99"/>
    <w:rsid w:val="00EE592C"/>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EE592C"/>
    <w:pPr>
      <w:tabs>
        <w:tab w:val="center" w:pos="4513"/>
        <w:tab w:val="right" w:pos="9026"/>
      </w:tabs>
    </w:pPr>
  </w:style>
  <w:style w:type="character" w:customStyle="1" w:styleId="FooterChar">
    <w:name w:val="Footer Char"/>
    <w:basedOn w:val="DefaultParagraphFont"/>
    <w:link w:val="Footer"/>
    <w:uiPriority w:val="99"/>
    <w:rsid w:val="00EE592C"/>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D2839"/>
    <w:rPr>
      <w:rFonts w:ascii="Tahoma" w:hAnsi="Tahoma" w:cs="Tahoma"/>
      <w:sz w:val="16"/>
      <w:szCs w:val="16"/>
    </w:rPr>
  </w:style>
  <w:style w:type="character" w:customStyle="1" w:styleId="BalloonTextChar">
    <w:name w:val="Balloon Text Char"/>
    <w:basedOn w:val="DefaultParagraphFont"/>
    <w:link w:val="BalloonText"/>
    <w:uiPriority w:val="99"/>
    <w:semiHidden/>
    <w:rsid w:val="002D2839"/>
    <w:rPr>
      <w:rFonts w:ascii="Tahoma" w:eastAsia="Times New Roman" w:hAnsi="Tahoma" w:cs="Tahoma"/>
      <w:sz w:val="16"/>
      <w:szCs w:val="16"/>
      <w:lang w:eastAsia="en-AU"/>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2D2839"/>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D2839"/>
    <w:rPr>
      <w:sz w:val="16"/>
      <w:szCs w:val="16"/>
    </w:rPr>
  </w:style>
  <w:style w:type="paragraph" w:styleId="CommentText">
    <w:name w:val="annotation text"/>
    <w:basedOn w:val="Normal"/>
    <w:link w:val="CommentTextChar"/>
    <w:uiPriority w:val="99"/>
    <w:semiHidden/>
    <w:unhideWhenUsed/>
    <w:rsid w:val="002D2839"/>
    <w:rPr>
      <w:sz w:val="20"/>
      <w:szCs w:val="20"/>
    </w:rPr>
  </w:style>
  <w:style w:type="character" w:customStyle="1" w:styleId="CommentTextChar">
    <w:name w:val="Comment Text Char"/>
    <w:basedOn w:val="DefaultParagraphFont"/>
    <w:link w:val="CommentText"/>
    <w:uiPriority w:val="99"/>
    <w:semiHidden/>
    <w:rsid w:val="002D283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D2839"/>
    <w:rPr>
      <w:b/>
      <w:bCs/>
    </w:rPr>
  </w:style>
  <w:style w:type="character" w:customStyle="1" w:styleId="CommentSubjectChar">
    <w:name w:val="Comment Subject Char"/>
    <w:basedOn w:val="CommentTextChar"/>
    <w:link w:val="CommentSubject"/>
    <w:uiPriority w:val="99"/>
    <w:semiHidden/>
    <w:rsid w:val="002D2839"/>
    <w:rPr>
      <w:rFonts w:ascii="Times New Roman" w:eastAsia="Times New Roman" w:hAnsi="Times New Roman" w:cs="Times New Roman"/>
      <w:b/>
      <w:bCs/>
      <w:sz w:val="20"/>
      <w:szCs w:val="20"/>
      <w:lang w:eastAsia="en-AU"/>
    </w:rPr>
  </w:style>
  <w:style w:type="table" w:styleId="TableGrid">
    <w:name w:val="Table Grid"/>
    <w:basedOn w:val="TableNormal"/>
    <w:rsid w:val="002939B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54B5"/>
    <w:rPr>
      <w:sz w:val="20"/>
      <w:szCs w:val="20"/>
    </w:rPr>
  </w:style>
  <w:style w:type="character" w:customStyle="1" w:styleId="FootnoteTextChar">
    <w:name w:val="Footnote Text Char"/>
    <w:basedOn w:val="DefaultParagraphFont"/>
    <w:link w:val="FootnoteText"/>
    <w:uiPriority w:val="99"/>
    <w:semiHidden/>
    <w:rsid w:val="00A954B5"/>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A954B5"/>
    <w:rPr>
      <w:vertAlign w:val="superscript"/>
    </w:rPr>
  </w:style>
  <w:style w:type="character" w:customStyle="1" w:styleId="Heading8Char">
    <w:name w:val="Heading 8 Char"/>
    <w:basedOn w:val="DefaultParagraphFont"/>
    <w:link w:val="Heading8"/>
    <w:uiPriority w:val="9"/>
    <w:rsid w:val="00027750"/>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3872">
      <w:bodyDiv w:val="1"/>
      <w:marLeft w:val="0"/>
      <w:marRight w:val="0"/>
      <w:marTop w:val="0"/>
      <w:marBottom w:val="0"/>
      <w:divBdr>
        <w:top w:val="none" w:sz="0" w:space="0" w:color="auto"/>
        <w:left w:val="none" w:sz="0" w:space="0" w:color="auto"/>
        <w:bottom w:val="none" w:sz="0" w:space="0" w:color="auto"/>
        <w:right w:val="none" w:sz="0" w:space="0" w:color="auto"/>
      </w:divBdr>
    </w:div>
    <w:div w:id="123239779">
      <w:bodyDiv w:val="1"/>
      <w:marLeft w:val="0"/>
      <w:marRight w:val="0"/>
      <w:marTop w:val="0"/>
      <w:marBottom w:val="0"/>
      <w:divBdr>
        <w:top w:val="none" w:sz="0" w:space="0" w:color="auto"/>
        <w:left w:val="none" w:sz="0" w:space="0" w:color="auto"/>
        <w:bottom w:val="none" w:sz="0" w:space="0" w:color="auto"/>
        <w:right w:val="none" w:sz="0" w:space="0" w:color="auto"/>
      </w:divBdr>
    </w:div>
    <w:div w:id="157356326">
      <w:bodyDiv w:val="1"/>
      <w:marLeft w:val="0"/>
      <w:marRight w:val="0"/>
      <w:marTop w:val="0"/>
      <w:marBottom w:val="0"/>
      <w:divBdr>
        <w:top w:val="none" w:sz="0" w:space="0" w:color="auto"/>
        <w:left w:val="none" w:sz="0" w:space="0" w:color="auto"/>
        <w:bottom w:val="none" w:sz="0" w:space="0" w:color="auto"/>
        <w:right w:val="none" w:sz="0" w:space="0" w:color="auto"/>
      </w:divBdr>
    </w:div>
    <w:div w:id="196043073">
      <w:bodyDiv w:val="1"/>
      <w:marLeft w:val="0"/>
      <w:marRight w:val="0"/>
      <w:marTop w:val="0"/>
      <w:marBottom w:val="0"/>
      <w:divBdr>
        <w:top w:val="none" w:sz="0" w:space="0" w:color="auto"/>
        <w:left w:val="none" w:sz="0" w:space="0" w:color="auto"/>
        <w:bottom w:val="none" w:sz="0" w:space="0" w:color="auto"/>
        <w:right w:val="none" w:sz="0" w:space="0" w:color="auto"/>
      </w:divBdr>
    </w:div>
    <w:div w:id="434255060">
      <w:bodyDiv w:val="1"/>
      <w:marLeft w:val="0"/>
      <w:marRight w:val="0"/>
      <w:marTop w:val="0"/>
      <w:marBottom w:val="0"/>
      <w:divBdr>
        <w:top w:val="none" w:sz="0" w:space="0" w:color="auto"/>
        <w:left w:val="none" w:sz="0" w:space="0" w:color="auto"/>
        <w:bottom w:val="none" w:sz="0" w:space="0" w:color="auto"/>
        <w:right w:val="none" w:sz="0" w:space="0" w:color="auto"/>
      </w:divBdr>
    </w:div>
    <w:div w:id="471406183">
      <w:bodyDiv w:val="1"/>
      <w:marLeft w:val="0"/>
      <w:marRight w:val="0"/>
      <w:marTop w:val="0"/>
      <w:marBottom w:val="0"/>
      <w:divBdr>
        <w:top w:val="none" w:sz="0" w:space="0" w:color="auto"/>
        <w:left w:val="none" w:sz="0" w:space="0" w:color="auto"/>
        <w:bottom w:val="none" w:sz="0" w:space="0" w:color="auto"/>
        <w:right w:val="none" w:sz="0" w:space="0" w:color="auto"/>
      </w:divBdr>
    </w:div>
    <w:div w:id="699432435">
      <w:bodyDiv w:val="1"/>
      <w:marLeft w:val="0"/>
      <w:marRight w:val="0"/>
      <w:marTop w:val="0"/>
      <w:marBottom w:val="0"/>
      <w:divBdr>
        <w:top w:val="none" w:sz="0" w:space="0" w:color="auto"/>
        <w:left w:val="none" w:sz="0" w:space="0" w:color="auto"/>
        <w:bottom w:val="none" w:sz="0" w:space="0" w:color="auto"/>
        <w:right w:val="none" w:sz="0" w:space="0" w:color="auto"/>
      </w:divBdr>
    </w:div>
    <w:div w:id="717126782">
      <w:bodyDiv w:val="1"/>
      <w:marLeft w:val="0"/>
      <w:marRight w:val="0"/>
      <w:marTop w:val="0"/>
      <w:marBottom w:val="0"/>
      <w:divBdr>
        <w:top w:val="none" w:sz="0" w:space="0" w:color="auto"/>
        <w:left w:val="none" w:sz="0" w:space="0" w:color="auto"/>
        <w:bottom w:val="none" w:sz="0" w:space="0" w:color="auto"/>
        <w:right w:val="none" w:sz="0" w:space="0" w:color="auto"/>
      </w:divBdr>
    </w:div>
    <w:div w:id="745230406">
      <w:bodyDiv w:val="1"/>
      <w:marLeft w:val="0"/>
      <w:marRight w:val="0"/>
      <w:marTop w:val="0"/>
      <w:marBottom w:val="0"/>
      <w:divBdr>
        <w:top w:val="none" w:sz="0" w:space="0" w:color="auto"/>
        <w:left w:val="none" w:sz="0" w:space="0" w:color="auto"/>
        <w:bottom w:val="none" w:sz="0" w:space="0" w:color="auto"/>
        <w:right w:val="none" w:sz="0" w:space="0" w:color="auto"/>
      </w:divBdr>
    </w:div>
    <w:div w:id="816386108">
      <w:bodyDiv w:val="1"/>
      <w:marLeft w:val="0"/>
      <w:marRight w:val="0"/>
      <w:marTop w:val="0"/>
      <w:marBottom w:val="0"/>
      <w:divBdr>
        <w:top w:val="none" w:sz="0" w:space="0" w:color="auto"/>
        <w:left w:val="none" w:sz="0" w:space="0" w:color="auto"/>
        <w:bottom w:val="none" w:sz="0" w:space="0" w:color="auto"/>
        <w:right w:val="none" w:sz="0" w:space="0" w:color="auto"/>
      </w:divBdr>
    </w:div>
    <w:div w:id="823741157">
      <w:bodyDiv w:val="1"/>
      <w:marLeft w:val="0"/>
      <w:marRight w:val="0"/>
      <w:marTop w:val="0"/>
      <w:marBottom w:val="0"/>
      <w:divBdr>
        <w:top w:val="none" w:sz="0" w:space="0" w:color="auto"/>
        <w:left w:val="none" w:sz="0" w:space="0" w:color="auto"/>
        <w:bottom w:val="none" w:sz="0" w:space="0" w:color="auto"/>
        <w:right w:val="none" w:sz="0" w:space="0" w:color="auto"/>
      </w:divBdr>
    </w:div>
    <w:div w:id="1202286958">
      <w:bodyDiv w:val="1"/>
      <w:marLeft w:val="0"/>
      <w:marRight w:val="0"/>
      <w:marTop w:val="0"/>
      <w:marBottom w:val="0"/>
      <w:divBdr>
        <w:top w:val="none" w:sz="0" w:space="0" w:color="auto"/>
        <w:left w:val="none" w:sz="0" w:space="0" w:color="auto"/>
        <w:bottom w:val="none" w:sz="0" w:space="0" w:color="auto"/>
        <w:right w:val="none" w:sz="0" w:space="0" w:color="auto"/>
      </w:divBdr>
    </w:div>
    <w:div w:id="1293092938">
      <w:bodyDiv w:val="1"/>
      <w:marLeft w:val="0"/>
      <w:marRight w:val="0"/>
      <w:marTop w:val="0"/>
      <w:marBottom w:val="0"/>
      <w:divBdr>
        <w:top w:val="none" w:sz="0" w:space="0" w:color="auto"/>
        <w:left w:val="none" w:sz="0" w:space="0" w:color="auto"/>
        <w:bottom w:val="none" w:sz="0" w:space="0" w:color="auto"/>
        <w:right w:val="none" w:sz="0" w:space="0" w:color="auto"/>
      </w:divBdr>
    </w:div>
    <w:div w:id="1311908047">
      <w:bodyDiv w:val="1"/>
      <w:marLeft w:val="0"/>
      <w:marRight w:val="0"/>
      <w:marTop w:val="0"/>
      <w:marBottom w:val="0"/>
      <w:divBdr>
        <w:top w:val="none" w:sz="0" w:space="0" w:color="auto"/>
        <w:left w:val="none" w:sz="0" w:space="0" w:color="auto"/>
        <w:bottom w:val="none" w:sz="0" w:space="0" w:color="auto"/>
        <w:right w:val="none" w:sz="0" w:space="0" w:color="auto"/>
      </w:divBdr>
    </w:div>
    <w:div w:id="1437170627">
      <w:bodyDiv w:val="1"/>
      <w:marLeft w:val="0"/>
      <w:marRight w:val="0"/>
      <w:marTop w:val="0"/>
      <w:marBottom w:val="0"/>
      <w:divBdr>
        <w:top w:val="none" w:sz="0" w:space="0" w:color="auto"/>
        <w:left w:val="none" w:sz="0" w:space="0" w:color="auto"/>
        <w:bottom w:val="none" w:sz="0" w:space="0" w:color="auto"/>
        <w:right w:val="none" w:sz="0" w:space="0" w:color="auto"/>
      </w:divBdr>
    </w:div>
    <w:div w:id="1478188686">
      <w:bodyDiv w:val="1"/>
      <w:marLeft w:val="0"/>
      <w:marRight w:val="0"/>
      <w:marTop w:val="0"/>
      <w:marBottom w:val="0"/>
      <w:divBdr>
        <w:top w:val="none" w:sz="0" w:space="0" w:color="auto"/>
        <w:left w:val="none" w:sz="0" w:space="0" w:color="auto"/>
        <w:bottom w:val="none" w:sz="0" w:space="0" w:color="auto"/>
        <w:right w:val="none" w:sz="0" w:space="0" w:color="auto"/>
      </w:divBdr>
    </w:div>
    <w:div w:id="1588151769">
      <w:bodyDiv w:val="1"/>
      <w:marLeft w:val="0"/>
      <w:marRight w:val="0"/>
      <w:marTop w:val="0"/>
      <w:marBottom w:val="0"/>
      <w:divBdr>
        <w:top w:val="none" w:sz="0" w:space="0" w:color="auto"/>
        <w:left w:val="none" w:sz="0" w:space="0" w:color="auto"/>
        <w:bottom w:val="none" w:sz="0" w:space="0" w:color="auto"/>
        <w:right w:val="none" w:sz="0" w:space="0" w:color="auto"/>
      </w:divBdr>
    </w:div>
    <w:div w:id="211474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829AD-ECA0-4A31-8398-10A5E897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848A8DC4.dotm</Template>
  <TotalTime>0</TotalTime>
  <Pages>12</Pages>
  <Words>3444</Words>
  <Characters>19635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Natalie James' Speech to AHRI July 2016</vt:lpstr>
    </vt:vector>
  </TitlesOfParts>
  <Company/>
  <LinksUpToDate>false</LinksUpToDate>
  <CharactersWithSpaces>23033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Natalie James' Speech to AHRI July 2016</dc:title>
  <dc:subject>Natalie James' Speech to AHRI July 2016</dc:subject>
  <dc:creator/>
  <cp:keywords>Natalie James' Speech to AHRI July 2016</cp:keywords>
  <cp:lastModifiedBy/>
  <cp:revision>1</cp:revision>
  <dcterms:created xsi:type="dcterms:W3CDTF">2016-07-26T04:48:00Z</dcterms:created>
  <dcterms:modified xsi:type="dcterms:W3CDTF">2016-07-26T04:48:00Z</dcterms:modified>
</cp:coreProperties>
</file>